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w:t>
        <w:t xml:space="preserve">.  </w:t>
      </w:r>
      <w:r>
        <w:rPr>
          <w:b/>
        </w:rPr>
        <w:t xml:space="preserve">Right of action</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a benefit enforcement proceeding, a person may not bring an action or assert a claim against a benefit corporation or its directors or officers with respect to:</w:t>
      </w:r>
    </w:p>
    <w:p>
      <w:pPr>
        <w:jc w:val="both"/>
        <w:spacing w:before="100" w:after="0"/>
        <w:ind w:start="720"/>
      </w:pPr>
      <w:r>
        <w:rPr/>
        <w:t>A</w:t>
        <w:t xml:space="preserve">.  </w:t>
      </w:r>
      <w:r>
        <w:rPr/>
      </w:r>
      <w:r>
        <w:t xml:space="preserve">Failure to pursue or create general public benefit or a specific public benefit set forth in the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Limitation on liability of corporation.</w:t>
        <w:t xml:space="preserve"> </w:t>
      </w:r>
      <w:r>
        <w:t xml:space="preserve"> </w:t>
      </w:r>
      <w:r>
        <w:t xml:space="preserve">A benefit corporation is not liable for monetary damages under this chapter for any failure of the benefit corporation to pursue or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Standing.</w:t>
        <w:t xml:space="preserve"> </w:t>
      </w:r>
      <w:r>
        <w:t xml:space="preserve"> </w:t>
      </w:r>
      <w:r>
        <w:t xml:space="preserve">A benefit enforcement proceeding may be commenced or maintained only:</w:t>
      </w:r>
    </w:p>
    <w:p>
      <w:pPr>
        <w:jc w:val="both"/>
        <w:spacing w:before="100" w:after="0"/>
        <w:ind w:start="720"/>
      </w:pPr>
      <w:r>
        <w:rPr/>
        <w:t>A</w:t>
        <w:t xml:space="preserve">.  </w:t>
      </w:r>
      <w:r>
        <w:rPr/>
      </w:r>
      <w:r>
        <w:t xml:space="preserve">Directly by the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Derivatively in accordance with </w:t>
      </w:r>
      <w:r>
        <w:t>chapter 7, subchapter 4</w:t>
      </w:r>
      <w:r>
        <w:t xml:space="preserve"> by:</w:t>
      </w:r>
    </w:p>
    <w:p>
      <w:pPr>
        <w:jc w:val="both"/>
        <w:spacing w:before="100" w:after="0"/>
        <w:ind w:start="1080"/>
      </w:pPr>
      <w:r>
        <w:rPr/>
        <w:t>(</w:t>
        <w:t>1</w:t>
        <w:t xml:space="preserve">)  </w:t>
      </w:r>
      <w:r>
        <w:rPr/>
      </w:r>
      <w:r>
        <w:t xml:space="preserve">A person or group of persons that owned beneficially or of record at least 2% of the total number of shares of a class or series outstanding at the time of the act or omission complained of;</w:t>
      </w:r>
    </w:p>
    <w:p>
      <w:pPr>
        <w:jc w:val="both"/>
        <w:spacing w:before="100" w:after="0"/>
        <w:ind w:start="1080"/>
      </w:pPr>
      <w:r>
        <w:rPr/>
        <w:t>(</w:t>
        <w:t>2</w:t>
        <w:t xml:space="preserve">)  </w:t>
      </w:r>
      <w:r>
        <w:rPr/>
      </w:r>
      <w:r>
        <w:t xml:space="preserve">A director;</w:t>
      </w:r>
    </w:p>
    <w:p>
      <w:pPr>
        <w:jc w:val="both"/>
        <w:spacing w:before="100" w:after="0"/>
        <w:ind w:start="1080"/>
      </w:pPr>
      <w:r>
        <w:rPr/>
        <w:t>(</w:t>
        <w:t>3</w:t>
        <w:t xml:space="preserve">)  </w:t>
      </w:r>
      <w:r>
        <w:rPr/>
      </w:r>
      <w:r>
        <w:t xml:space="preserve">A person or group of persons that owned beneficially or of record 5% or more of the outstanding equity interests in an entity of which the benefit corporation is a subsidiary at the time of the act or omission complained of; or</w:t>
      </w:r>
    </w:p>
    <w:p>
      <w:pPr>
        <w:jc w:val="both"/>
        <w:spacing w:before="100" w:after="0"/>
        <w:ind w:start="1080"/>
      </w:pPr>
      <w:r>
        <w:rPr/>
        <w:t>(</w:t>
        <w:t>4</w:t>
        <w:t xml:space="preserve">)  </w:t>
      </w:r>
      <w:r>
        <w:rPr/>
      </w:r>
      <w:r>
        <w:t xml:space="preserve">Other persons as specified in the articles of incorporation or bylaws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Beneficial ownership.</w:t>
        <w:t xml:space="preserve"> </w:t>
      </w:r>
      <w:r>
        <w:t xml:space="preserve"> </w:t>
      </w:r>
      <w:r>
        <w:t xml:space="preserve">For purposes of this section, a person is the beneficial owner of shares or equity interests if the shares or equity interests are held in a voting trust or by a nominee on behalf of the beneficial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§1825.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§1825.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