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Forms</w:t>
      </w:r>
    </w:p>
    <w:p>
      <w:pPr>
        <w:jc w:val="both"/>
        <w:spacing w:before="100" w:after="100"/>
        <w:ind w:start="360"/>
        <w:ind w:firstLine="360"/>
      </w:pPr>
      <w:r>
        <w:rPr/>
      </w:r>
      <w:r>
        <w:rPr/>
      </w:r>
      <w:r>
        <w:t xml:space="preserve">The Secretary of State may prescribe and furnish on request forms for any documents required or permitted to be filed by this Act. If the Secretary of State so requires, use of these forms is mandatory.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§122.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