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CORPORATE NAME; REGISTERED OFFICE, AGENT AND CLERK;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jc w:val="both"/>
        <w:spacing w:before="100" w:after="100"/>
        <w:ind w:start="1080" w:hanging="720"/>
      </w:pPr>
      <w:r>
        <w:rPr>
          <w:b/>
        </w:rPr>
        <w:t>§</w:t>
        <w:t>305</w:t>
        <w:t xml:space="preserve">.  </w:t>
      </w:r>
      <w:r>
        <w:rPr>
          <w:b/>
        </w:rPr>
        <w:t xml:space="preserve">Service of process on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306</w:t>
        <w:t xml:space="preserve">.  </w:t>
      </w:r>
      <w:r>
        <w:rPr>
          <w:b/>
        </w:rPr>
        <w:t xml:space="preserve">Service on nonresident directors of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307</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§18 (AMD). PL 2001, c. 640, §A1 (RP). PL 2001, c. 640, §B7 (AFF). </w:t>
      </w:r>
    </w:p>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AGENT AND CLERK;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AGENT AND CLERK;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3. CORPORATE NAME; REGISTERED OFFICE, AGENT AND CLERK;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