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w:t>
        <w:t xml:space="preserve">.  </w:t>
      </w:r>
      <w:r>
        <w:rPr>
          <w:b/>
        </w:rPr>
        <w:t xml:space="preserve">Filing duty of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Act satisfies the requirements of </w:t>
      </w:r>
      <w:r>
        <w:t>section 121</w:t>
      </w:r>
      <w:r>
        <w:t xml:space="preserve">,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domestic or foreign corporation or its representative a copy of the document with an acknowledgement of the date of filing. If the person delivering the document for filing so requests, the acknowledgment must further include the hour and minute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Refusal to file; written explanation.</w:t>
        <w:t xml:space="preserve"> </w:t>
      </w:r>
      <w:r>
        <w:t xml:space="preserve"> </w:t>
      </w:r>
      <w:r>
        <w:t xml:space="preserve">If the Secretary of State refuses to file a document, the Secretary of State shall return it to the domestic or foreign corporation or its representative within 5 days after the document was delivered, together with a brief, written explanation of the reason for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Ministerial.</w:t>
        <w:t xml:space="preserve"> </w:t>
      </w:r>
      <w:r>
        <w:t xml:space="preserve"> </w:t>
      </w:r>
      <w:r>
        <w:t xml:space="preserve">The Secretary of State's duty to file a document under this section is ministerial, and the filing or refusal to file a document does not:</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Create a presumption that the document is valid or invalid or that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 Filing duty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 Filing duty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§127. FILING DUTY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