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9321-B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56,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2</w:t>
        <w:t xml:space="preserve">.  </w:t>
      </w:r>
      <w:r>
        <w:rPr>
          <w:b/>
        </w:rPr>
        <w:t xml:space="preserve">Recreational campfire.</w:t>
        <w:t xml:space="preserve"> </w:t>
      </w:r>
      <w:r>
        <w:t xml:space="preserve"> </w:t>
      </w:r>
      <w:r>
        <w:t xml:space="preserve">"Recreational campfire" means an out-of-door fire that is used for cooking, personal warmth, light or ceremonial or aesthetic purposes and that is not a part of debris disposal.  "Recreational campfire" includes a residential fire contained within an out-of-door fireplace.  "Recreational campfire" does not include a portable lantern designed to emit light resulting from combustion or a stove that is used inside a structure or living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3</w:t>
        <w:t xml:space="preserve">.  </w:t>
      </w:r>
      <w:r>
        <w:rPr>
          <w:b/>
        </w:rPr>
        <w:t xml:space="preserve">Red flag warning.</w:t>
        <w:t xml:space="preserve"> </w:t>
      </w:r>
      <w:r>
        <w:t xml:space="preserve"> </w:t>
      </w:r>
      <w:r>
        <w:t xml:space="preserve">"Red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§9321-B.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§9321-B.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§9321-B.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