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8306</w:t>
      </w:r>
      <w:r>
        <w:t xml:space="preserve"> or a condition or term of an order, permit or notice issued by the director or the Commissioner of Agriculture, Conservation and Forestry in accordance with </w:t>
      </w:r>
      <w:r>
        <w:t>section 8305</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§8307.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