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Shore and Harbor Management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Shore and Harbor Management Fund, referred to in this section as the "fund," is established as a nonlapsing fund to support shore and harbor management improvement activities.  The fund is administered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fund is to support shore and harbor management improvement activities by providing grants to municipalities and funds to state agencies.  These activities include but are not limited to the development of harbor management plans and public access facilities.  A portion of the fund, not to exceed 25% of available revenues, may be used to support management programs on state-owned coastal islands under the jurisdiction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 §1 (AMD); PL 2011, c. 657, Pt. W, §7 (REV); PL 2013, c. 405, Pt. A, §24 (REV).]</w:t>
      </w:r>
    </w:p>
    <w:p>
      <w:pPr>
        <w:jc w:val="both"/>
        <w:spacing w:before="100" w:after="0"/>
        <w:ind w:start="360"/>
        <w:ind w:firstLine="360"/>
      </w:pPr>
      <w:r>
        <w:rPr>
          <w:b/>
        </w:rPr>
        <w:t>3</w:t>
        <w:t xml:space="preserve">.  </w:t>
      </w:r>
      <w:r>
        <w:rPr>
          <w:b/>
        </w:rPr>
        <w:t xml:space="preserve">Fund sources.</w:t>
        <w:t xml:space="preserve"> </w:t>
      </w:r>
      <w:r>
        <w:t xml:space="preserve"> </w:t>
      </w:r>
      <w:r>
        <w:t xml:space="preserve">Annual revenues, less funds deposited in the Renewable Ocean Energy Trust pursuant to </w:t>
      </w:r>
      <w:r>
        <w:t>section 1863‑A</w:t>
      </w:r>
      <w:r>
        <w:t xml:space="preserve"> and operating expenses from the submerged and intertidal lands program and the abandoned watercraft program and conveyances of submerged and intertidal lands by the Legislature,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§2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director shall develop criteria for awarding grants under this section.  Money in the fund not immediately required pursuant to this section must be invested by the Treasurer of State as authorized by </w:t>
      </w:r>
      <w:r>
        <w:t>Title 5, section 138</w:t>
      </w:r>
      <w:r>
        <w:t xml:space="preserve">.  Interest on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401, §I1 (AMD). PL 2003, c. 254, §3 (AMD). PL 2003, c. 673, §J1 (AMD). PL 2009, c. 615, Pt. B, §2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§1863. Shore and Harbor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Shore and Harbor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§1863. SHORE AND HARBOR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