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9-1624</w:t>
        <w:t xml:space="preserve">.  </w:t>
      </w:r>
      <w:r>
        <w:rPr>
          <w:b/>
        </w:rPr>
        <w:t xml:space="preserve">Waiver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debtor or secondary obligor may waive the right to notification of disposition of collateral under </w:t>
      </w:r>
      <w:r>
        <w:t>section 9‑1611</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debtor may waive the right to require disposition of collateral under </w:t>
      </w:r>
      <w:r>
        <w:t>section 9‑1620, subsection (5)</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in a consumer-goods transaction, a debtor or secondary obligor may waive the right to redeem collateral under </w:t>
      </w:r>
      <w:r>
        <w:t>section 9‑1623</w:t>
      </w:r>
      <w:r>
        <w:t xml:space="preserve"> only by an agreement to that effect entered into and authenticated after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§9-1624.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§9-1624.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§9-1624.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