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9-1604</w:t>
        <w:t xml:space="preserve">.  </w:t>
      </w:r>
      <w:r>
        <w:rPr>
          <w:b/>
        </w:rPr>
        <w:t xml:space="preserve">Procedure if security agreement covers real property or fixtures</w:t>
      </w:r>
    </w:p>
    <w:p>
      <w:pPr>
        <w:jc w:val="both"/>
        <w:spacing w:before="100" w:after="100"/>
        <w:ind w:start="360"/>
        <w:ind w:firstLine="360"/>
      </w:pPr>
      <w:r>
        <w:rPr>
          <w:b/>
        </w:rPr>
        <w:t>(1)</w:t>
        <w:t xml:space="preserve">.  </w:t>
      </w:r>
      <w:r>
        <w:rPr>
          <w:b/>
        </w:rPr>
      </w:r>
      <w:r>
        <w:t xml:space="preserve"> </w:t>
      </w:r>
      <w:r>
        <w:t xml:space="preserve">If a security agreement covers both personal and real property, a secured party may proceed:</w:t>
      </w:r>
    </w:p>
    <w:p>
      <w:pPr>
        <w:jc w:val="both"/>
        <w:spacing w:before="100" w:after="0"/>
        <w:ind w:start="720"/>
      </w:pPr>
      <w:r>
        <w:rPr/>
        <w:t>(a)</w:t>
        <w:t xml:space="preserve">.  </w:t>
      </w:r>
      <w:r>
        <w:rPr/>
      </w:r>
      <w:r>
        <w:t xml:space="preserve">Under this part as to the personal property without prejudicing any rights with respect to the real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As to both the personal property and the real property in accordance with the rights with respect to the real property, in which case the other provisions of this part do not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if a security agreement covers goods that are or become fixtures, a secured party may proceed:</w:t>
      </w:r>
    </w:p>
    <w:p>
      <w:pPr>
        <w:jc w:val="both"/>
        <w:spacing w:before="100" w:after="0"/>
        <w:ind w:start="720"/>
      </w:pPr>
      <w:r>
        <w:rPr/>
        <w:t>(a)</w:t>
        <w:t xml:space="preserve">.  </w:t>
      </w:r>
      <w:r>
        <w:rPr/>
      </w:r>
      <w:r>
        <w:t xml:space="preserve">Under this part;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accordance with the rights with respect to real property, in which case the other provisions of this part do not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Subject to the other provisions of this part, if a secured party holding a security interest in fixtures has priority over all owners and encumbrancers of the real property, the secured party, after default, may remove the collateral from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§9-1604. Procedure if security agreement covers real property or fixtures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§9-1604. Procedure if security agreement covers real property or fixtures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§9-1604. PROCEDURE IF SECURITY AGREEMENT COVERS REAL PROPERTY OR FIXTURES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