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9-1209</w:t>
        <w:t xml:space="preserve">.  </w:t>
      </w:r>
      <w:r>
        <w:rPr>
          <w:b/>
        </w:rPr>
        <w:t xml:space="preserve">Duties of secured party if account debtor has been notified of assignment</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this section applies if:</w:t>
      </w:r>
    </w:p>
    <w:p>
      <w:pPr>
        <w:jc w:val="both"/>
        <w:spacing w:before="100" w:after="0"/>
        <w:ind w:start="720"/>
      </w:pPr>
      <w:r>
        <w:rPr/>
        <w:t>(a)</w:t>
        <w:t xml:space="preserve">.  </w:t>
      </w:r>
      <w:r>
        <w:rPr/>
      </w:r>
      <w:r>
        <w:t xml:space="preserve">There is no outstanding secured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is not committed to make advances, incur obligations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Within 20 days after receiving an authenticated demand by the debtor, a secured party shall send to an account debtor that has received notification of an assignment to the secured party as assignee under </w:t>
      </w:r>
      <w:r>
        <w:t>section 9‑1406, subsection (1)</w:t>
      </w:r>
      <w:r>
        <w:t xml:space="preserve"> an authenticated record that releases the account debtor from any further obligation to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an assignment constituting the sale of an account, chattel paper or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§9-1209. Duties of secured party if account debtor has been notified of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§9-1209. Duties of secured party if account debtor has been notified of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§9-1209. DUTIES OF SECURED PARTY IF ACCOUNT DEBTOR HAS BEEN NOTIFIED OF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