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9-1105</w:t>
        <w:t xml:space="preserve">.  </w:t>
      </w:r>
      <w:r>
        <w:rPr>
          <w:b/>
        </w:rPr>
        <w:t xml:space="preserve">Control of electronic chattel paper</w:t>
      </w:r>
    </w:p>
    <w:p>
      <w:pPr>
        <w:jc w:val="both"/>
        <w:spacing w:before="100" w:after="100"/>
        <w:ind w:start="360"/>
        <w:ind w:firstLine="360"/>
      </w:pPr>
      <w:r>
        <w:rPr/>
      </w:r>
      <w:r>
        <w:rPr/>
      </w:r>
      <w:r>
        <w:t xml:space="preserve">A secured party has control of electronic chattel paper if a system employed for evidencing the transfer of interests in the chattel paper reliably establishes the secured party as the person to which the chattel paper was assigned.  A system satisfies this section if the record or records comprising the chattel paper are created, stored and assigned in such a manner that:</w:t>
      </w:r>
      <w:r>
        <w:t xml:space="preserve">  </w:t>
      </w:r>
      <w:r xmlns:wp="http://schemas.openxmlformats.org/drawingml/2010/wordprocessingDrawing" xmlns:w15="http://schemas.microsoft.com/office/word/2012/wordml">
        <w:rPr>
          <w:rFonts w:ascii="Arial" w:hAnsi="Arial" w:cs="Arial"/>
          <w:sz w:val="22"/>
          <w:szCs w:val="22"/>
        </w:rPr>
        <w:t xml:space="preserve">[PL 2013, c. 317, Pt. A, §9 (AMD).]</w:t>
      </w:r>
    </w:p>
    <w:p>
      <w:pPr>
        <w:jc w:val="both"/>
        <w:spacing w:before="100" w:after="0"/>
        <w:ind w:start="360"/>
        <w:ind w:firstLine="360"/>
      </w:pPr>
      <w:r>
        <w:rPr>
          <w:b/>
        </w:rPr>
        <w:t>(1)</w:t>
        <w:t xml:space="preserve">.  </w:t>
      </w:r>
      <w:r>
        <w:rPr>
          <w:b/>
        </w:rPr>
      </w:r>
      <w:r>
        <w:t xml:space="preserve"> </w:t>
      </w:r>
      <w:r>
        <w:t xml:space="preserve">A single authoritative copy of the record or records exists that is unique, identifiable and, except as otherwise provided in </w:t>
      </w:r>
      <w:r>
        <w:t>subsections (4)</w:t>
      </w:r>
      <w:r>
        <w:t xml:space="preserve">, </w:t>
      </w:r>
      <w:r>
        <w:t>(5)</w:t>
      </w:r>
      <w:r>
        <w:t xml:space="preserve"> and </w:t>
      </w:r>
      <w:r>
        <w:t>(6)</w:t>
      </w:r>
      <w:r>
        <w:t xml:space="preserve">, unalterable;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authoritative copy identifies the secured party as the assignee of the record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authoritative copy is communicated to and maintained by the secured party or its designated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Copies or amendments that add or change an identified assignee of the authoritative copy can be made only with the consent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§10 (AMD).]</w:t>
      </w:r>
    </w:p>
    <w:p>
      <w:pPr>
        <w:jc w:val="both"/>
        <w:spacing w:before="100" w:after="0"/>
        <w:ind w:start="360"/>
        <w:ind w:firstLine="360"/>
      </w:pPr>
      <w:r>
        <w:rPr>
          <w:b/>
        </w:rPr>
        <w:t>(5)</w:t>
        <w:t xml:space="preserve">.  </w:t>
      </w:r>
      <w:r>
        <w:rPr>
          <w:b/>
        </w:rPr>
      </w:r>
      <w:r>
        <w:t xml:space="preserve"> </w:t>
      </w:r>
      <w:r>
        <w:t xml:space="preserve">Each copy of the authoritative copy and any copy of a copy is readily identifiable as a copy that is not the authoritative copy;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Any amendment of the authoritative copy is readily identifiable as authorized or unauthorized.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§§9-11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§9-1105. Control of electronic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§9-1105. CONTROL OF ELECTRONIC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