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Scope: certain security and other transactions excluded from this Article</w:t>
      </w:r>
    </w:p>
    <w:p>
      <w:pPr>
        <w:jc w:val="both"/>
        <w:spacing w:before="100" w:after="100"/>
        <w:ind w:start="360"/>
        <w:ind w:firstLine="360"/>
      </w:pPr>
      <w:r>
        <w:rPr/>
      </w:r>
      <w:r>
        <w:rPr/>
      </w:r>
      <w:r>
        <w:t xml:space="preserve">Unless the context otherwise requires, this Article applies to transactions in goods; it does not apply to any transaction which although in the form of an unconditional contract to sell or present sale is intended to operate only as a security transaction nor does this Article impair or repeal any statute regulating sales to consumers, farmers or other specified classes of buyers.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§2-102. Scope: certain security and other transactions excluded from this Article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Scope: certain security and other transactions excluded from this Article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§2-102. SCOPE: CERTAIN SECURITY AND OTHER TRANSACTIONS EXCLUDED FROM THIS ARTICLE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