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Unless the context otherwise requires, and except as provided in </w:t>
      </w:r>
      <w:r>
        <w:t>subsection (3)</w:t>
      </w:r>
      <w:r>
        <w:t xml:space="preserve">, this Article applies to transactions in goods and, in the case of a hybrid transaction,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(2)</w:t>
        <w:t xml:space="preserve">.  </w:t>
      </w:r>
      <w:r>
        <w:rPr>
          <w:b/>
        </w:rPr>
      </w:r>
      <w:r>
        <w:t xml:space="preserve"> </w:t>
      </w:r>
      <w:r>
        <w:t xml:space="preserve">In a hybrid transaction:</w:t>
      </w:r>
    </w:p>
    <w:p>
      <w:pPr>
        <w:jc w:val="both"/>
        <w:spacing w:before="100" w:after="0"/>
        <w:ind w:start="720"/>
      </w:pPr>
      <w:r>
        <w:rPr/>
        <w:t>(a)</w:t>
        <w:t xml:space="preserve">.  </w:t>
      </w:r>
      <w:r>
        <w:rPr/>
      </w:r>
      <w:r>
        <w:t xml:space="preserve">If the aspects of the transaction that relate to the sale of goods do not predominate, only the provisions of this Article that relate primarily to those aspects of the transaction apply and the provisions that relate primarily to the transaction as a whole do not apply.</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If the aspects of the transaction that relate to the sale of goods predominate, this Article applies to the transaction but does not preclude application in appropriate circumstances of other law to aspects of the transaction that do not relate to the sale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(3)</w:t>
        <w:t xml:space="preserve">.  </w:t>
      </w:r>
      <w:r>
        <w:rPr>
          <w:b/>
        </w:rPr>
      </w:r>
      <w:r>
        <w:t xml:space="preserve"> </w:t>
      </w:r>
      <w:r>
        <w:t xml:space="preserve">This Article does not:</w:t>
      </w:r>
    </w:p>
    <w:p>
      <w:pPr>
        <w:jc w:val="both"/>
        <w:spacing w:before="100" w:after="0"/>
        <w:ind w:start="720"/>
      </w:pPr>
      <w:r>
        <w:rPr/>
        <w:t>(a)</w:t>
        <w:t xml:space="preserve">.  </w:t>
      </w:r>
      <w:r>
        <w:rPr/>
      </w:r>
      <w:r>
        <w:t xml:space="preserve">Apply to a transaction that, even though in the form of an unconditional contract to sell or present sale, operates only to create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Impair or repeal a statute regulating sales to consumers, farmers or other specified classes of buyers.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(RPR).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 certain security and other transactions excluded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§2-102. SCOPE; CERTAIN SECURITY AND OTHER TRANSACTIONS EXCLUDED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