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Discharge</w:t>
      </w:r>
    </w:p>
    <w:p>
      <w:pPr>
        <w:jc w:val="both"/>
        <w:spacing w:before="100" w:after="100"/>
        <w:ind w:start="360"/>
        <w:ind w:firstLine="360"/>
      </w:pPr>
      <w:r>
        <w:rPr/>
      </w:r>
      <w:r>
        <w:rPr/>
      </w:r>
      <w:r>
        <w:t xml:space="preserve">All liens named herein may be discharged by tender of the sum due made by the debtor or owner of the property or his agents.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§4011.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§4011.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