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368-A</w:t>
        <w:t xml:space="preserve">.  </w:t>
      </w:r>
      <w:r>
        <w:rPr>
          <w:b/>
        </w:rPr>
        <w:t xml:space="preserve">FDIC; acquisition of stock</w:t>
      </w:r>
    </w:p>
    <w:p>
      <w:pPr>
        <w:jc w:val="both"/>
        <w:spacing w:before="100" w:after="100"/>
        <w:ind w:start="360"/>
        <w:ind w:firstLine="360"/>
      </w:pPr>
      <w:r>
        <w:rPr/>
      </w:r>
      <w:r>
        <w:rPr/>
      </w:r>
      <w:r>
        <w:t xml:space="preserve">The superintendent may waive the provisions of </w:t>
      </w:r>
      <w:r>
        <w:t>section 1013</w:t>
      </w:r>
      <w:r>
        <w:t xml:space="preserve"> and </w:t>
      </w:r>
      <w:r>
        <w:t>section 1015</w:t>
      </w:r>
      <w:r>
        <w:t xml:space="preserve"> when an equity interest is issued to or acquired by the FDIC in settlement of any liability, fixed or contingent, of a financial institution to the FDIC or in connection with the insolvency or liquidation of the financial institution.</w:t>
      </w:r>
      <w:r>
        <w:t xml:space="preserve">  </w:t>
      </w:r>
      <w:r xmlns:wp="http://schemas.openxmlformats.org/drawingml/2010/wordprocessingDrawing" xmlns:w15="http://schemas.microsoft.com/office/word/2012/wordml">
        <w:rPr>
          <w:rFonts w:ascii="Arial" w:hAnsi="Arial" w:cs="Arial"/>
          <w:sz w:val="22"/>
          <w:szCs w:val="22"/>
        </w:rPr>
        <w:t xml:space="preserve">[PL 1997, c. 398, Pt. H,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538, §3 (NEW). PL 1997, c. 398, §H7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§368-A. FDIC; acquisition of stock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§368-A. FDIC; acquisition of stock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§368-A. FDIC; ACQUISITION OF STOCK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