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1017</w:t>
        <w:t xml:space="preserve">.  </w:t>
      </w:r>
      <w:r>
        <w:rPr>
          <w:b/>
        </w:rPr>
        <w:t xml:space="preserve">Conformity with Federal procedures</w:t>
      </w:r>
    </w:p>
    <w:p>
      <w:pPr>
        <w:jc w:val="both"/>
        <w:spacing w:before="100" w:after="100"/>
        <w:ind w:start="360"/>
        <w:ind w:firstLine="360"/>
      </w:pPr>
      <w:r>
        <w:rPr/>
      </w:r>
      <w:r>
        <w:rPr/>
      </w:r>
      <w:r>
        <w:t xml:space="preserve">To the maximum extent consistent with the effective discharge of the superintendent's responsibilities, the forms established under this chapter for registration, applications and reports must conform with those established under either the Bank Holding Company Act of 1956 or </w:t>
      </w:r>
      <w:r>
        <w:t>section 408</w:t>
      </w:r>
      <w:r>
        <w:t xml:space="preserve"> of the National Housing Act, or the federal International Banking Act of 1978 and regulations promulgated under the federal International Banking Act of 1978.</w:t>
      </w:r>
      <w:r>
        <w:t xml:space="preserve">  </w:t>
      </w:r>
      <w:r xmlns:wp="http://schemas.openxmlformats.org/drawingml/2010/wordprocessingDrawing" xmlns:w15="http://schemas.microsoft.com/office/word/2012/wordml">
        <w:rPr>
          <w:rFonts w:ascii="Arial" w:hAnsi="Arial" w:cs="Arial"/>
          <w:sz w:val="22"/>
          <w:szCs w:val="22"/>
        </w:rPr>
        <w:t xml:space="preserve">[PL 1997, c. 182, Pt. A,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182, §A13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§1017. Conformity with Federal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§1017. Conformity with Federal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§1017. CONFORMITY WITH FEDERAL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