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9-406</w:t>
        <w:t xml:space="preserve">.  </w:t>
      </w:r>
      <w:r>
        <w:rPr>
          <w:b/>
        </w:rPr>
        <w:t xml:space="preserve">Refunds and penalties as set-off to obligation</w:t>
      </w:r>
    </w:p>
    <w:p>
      <w:pPr>
        <w:jc w:val="both"/>
        <w:spacing w:before="100" w:after="100"/>
        <w:ind w:start="360"/>
        <w:ind w:firstLine="360"/>
      </w:pPr>
      <w:r>
        <w:rPr/>
      </w:r>
      <w:r>
        <w:rPr/>
      </w:r>
      <w:r>
        <w:t xml:space="preserve">Refunds or penalties to which the consumer is entitled pursuant to this Part may be set off against the consumer's obligation and may be raised as a defense to a suit on the obligation without regard to the time limitations prescribed by this Part.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§9-406. Refunds and penalties as set-off to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§9-406. Refunds and penalties as set-off to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§9-406. REFUNDS AND PENALTIES AS SET-OFF TO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