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8-511</w:t>
        <w:t xml:space="preserve">.  </w:t>
      </w:r>
      <w:r>
        <w:rPr>
          <w:b/>
        </w:rPr>
        <w:t xml:space="preserve">Recurring charges to credit card or charge card accounts</w:t>
      </w:r>
    </w:p>
    <w:p>
      <w:pPr>
        <w:jc w:val="both"/>
        <w:spacing w:before="100" w:after="100"/>
        <w:ind w:start="360"/>
        <w:ind w:firstLine="360"/>
      </w:pPr>
      <w:r>
        <w:rPr/>
      </w:r>
      <w:r>
        <w:rPr/>
      </w:r>
      <w:r>
        <w:t xml:space="preserve">If a sale of goods, services or insurance is charged to a credit card or charge card account on an annual basis without substantially contemporaneous authorizations by the consumer, the seller shall inform the consumer of the voluntary nature of the charge to the credit card or charge card account and of the steps necessary to prevent this charge at least 30 days prior to the annual charge. The card issuer may provide the notice on behalf of the seller. This section does not apply to insurance subject to notice and cancellation rights pursuant to </w:t>
      </w:r>
      <w:r>
        <w:t>section 4‑204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§8-511. Recurring charges to credit card or charge card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§8-511. Recurring charges to credit card or charge card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§8-511. RECURRING CHARGES TO CREDIT CARD OR CHARGE CARD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