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8-502</w:t>
        <w:t xml:space="preserve">.  </w:t>
      </w:r>
      <w:r>
        <w:rPr>
          <w:b/>
        </w:rPr>
        <w:t xml:space="preserve">Findings and declaration of purpose</w:t>
      </w:r>
    </w:p>
    <w:p>
      <w:pPr>
        <w:jc w:val="both"/>
        <w:spacing w:before="100" w:after="100"/>
        <w:ind w:start="360"/>
        <w:ind w:firstLine="360"/>
      </w:pPr>
      <w:r>
        <w:rPr/>
      </w:r>
      <w:r>
        <w:rPr/>
      </w:r>
      <w:r>
        <w:t xml:space="preserve">The Legislature finds that economic stabilization would be enhanced and the competition among the various financial institutions and other firms engaged in the extension of consumer credit would be strengthened by the informed use of credit. The informed use of credit results from an awareness of the cost thereof by consumers. It is the purpose of this Article to ensure a meaningful disclosure of credit terms so that the consumer will be able to compare more readily the various credit terms available to the consumer and avoid the uninformed use of credit and to protect the consumer against inaccurate and unfair credit billing and credit card practices.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§8-502. Findings and declaration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§8-502. Findings and declaration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§8-502. FINDINGS AND DECLARATION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