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6-112</w:t>
        <w:t xml:space="preserve">.  </w:t>
      </w:r>
      <w:r>
        <w:rPr>
          <w:b/>
        </w:rPr>
        <w:t xml:space="preserve">Temporary relief</w:t>
      </w:r>
    </w:p>
    <w:p>
      <w:pPr>
        <w:jc w:val="both"/>
        <w:spacing w:before="100" w:after="100"/>
        <w:ind w:start="360"/>
        <w:ind w:firstLine="360"/>
      </w:pPr>
      <w:r>
        <w:rPr/>
      </w:r>
      <w:r>
        <w:rPr/>
      </w:r>
      <w:r>
        <w:t xml:space="preserve">With respect to an action brought to enjoin violations of the Act, </w:t>
      </w:r>
      <w:r>
        <w:t>section 6‑110</w:t>
      </w:r>
      <w:r>
        <w:t xml:space="preserve">, or unconscionable agreements or fraudulent or unconscionable conduct, </w:t>
      </w:r>
      <w:r>
        <w:t>section 6‑111</w:t>
      </w:r>
      <w:r>
        <w:t xml:space="preserve">, the administrator, through the Attorney General, may apply to the court for appropriate temporary relief against a respondent, pending final determination of proceedings. If the court finds that there is reasonable cause to believe that the respondent is engaging in or is likely to engage in conduct sought to be restrained, it may grant any temporary relief or restraining order it deems appropriate.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§6-112. Temporary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§6-112. Temporary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§6-112. TEMPORARY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