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5-115</w:t>
        <w:t xml:space="preserve">.  </w:t>
      </w:r>
      <w:r>
        <w:rPr>
          <w:b/>
        </w:rPr>
        <w:t xml:space="preserve">Misrepresentation</w:t>
      </w:r>
    </w:p>
    <w:p>
      <w:pPr>
        <w:jc w:val="both"/>
        <w:spacing w:before="100" w:after="100"/>
        <w:ind w:start="360"/>
        <w:ind w:firstLine="360"/>
      </w:pPr>
      <w:r>
        <w:rPr/>
      </w:r>
      <w:r>
        <w:rPr/>
      </w:r>
      <w:r>
        <w:t xml:space="preserve">A creditor or a person acting for a creditor may not induce a consumer to enter into a consumer credit transaction by misrepresentation of a material fact with respect to the terms and conditions of the extension of credit.  A consumer so induced may rescind the sale, lease or loan or recover actual damages, or both.</w:t>
      </w:r>
      <w:r>
        <w:t xml:space="preserve">  </w:t>
      </w:r>
      <w:r xmlns:wp="http://schemas.openxmlformats.org/drawingml/2010/wordprocessingDrawing" xmlns:w15="http://schemas.microsoft.com/office/word/2012/wordml">
        <w:rPr>
          <w:rFonts w:ascii="Arial" w:hAnsi="Arial" w:cs="Arial"/>
          <w:sz w:val="22"/>
          <w:szCs w:val="22"/>
        </w:rPr>
        <w:t xml:space="preserve">[RR 2025, c. 1, Pt. C, §41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§41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§5-115. Misrepresentation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§5-115. Misrepresentation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§5-115. MISREPRESENTATION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