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4-401</w:t>
        <w:t xml:space="preserve">.  </w:t>
      </w:r>
      <w:r>
        <w:rPr>
          <w:b/>
        </w:rPr>
        <w:t xml:space="preserve">Scope</w:t>
      </w:r>
    </w:p>
    <w:p>
      <w:pPr>
        <w:jc w:val="both"/>
        <w:spacing w:before="100" w:after="0"/>
        <w:ind w:start="360"/>
        <w:ind w:firstLine="360"/>
      </w:pPr>
      <w:r>
        <w:rPr>
          <w:b/>
        </w:rPr>
        <w:t>1</w:t>
        <w:t xml:space="preserve">.  </w:t>
      </w:r>
      <w:r>
        <w:rPr>
          <w:b/>
        </w:rPr>
        <w:t xml:space="preserve">Scope.</w:t>
        <w:t xml:space="preserve"> </w:t>
      </w:r>
      <w:r>
        <w:t xml:space="preserve"> </w:t>
      </w:r>
      <w:r>
        <w:t xml:space="preserve">This Part applies to supervised lenders who are not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2</w:t>
        <w:t xml:space="preserve">.  </w:t>
      </w:r>
      <w:r>
        <w:rPr>
          <w:b/>
        </w:rPr>
        <w:t xml:space="preserve">Exceptions.</w:t>
        <w:t xml:space="preserve"> </w:t>
      </w:r>
      <w:r>
        <w:t xml:space="preserve"> </w:t>
      </w:r>
      <w:r>
        <w:t xml:space="preserve">Except for </w:t>
      </w:r>
      <w:r>
        <w:t>sections 4‑402</w:t>
      </w:r>
      <w:r>
        <w:t xml:space="preserve"> and </w:t>
      </w:r>
      <w:r>
        <w:t>4‑405</w:t>
      </w:r>
      <w:r>
        <w:t xml:space="preserve">, this Part does not apply to group health and group life insurance to the extent authorized by </w:t>
      </w:r>
      <w:r>
        <w:t>Title 24‑A, chapters 31</w:t>
      </w:r>
      <w:r>
        <w:t xml:space="preserve"> and </w:t>
      </w:r>
      <w:r>
        <w:t>35</w:t>
      </w:r>
      <w:r>
        <w:t xml:space="preserve"> when the insured is enrolled in the insurance policy, credit life and credit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§4-401.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§4-401.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§4-401.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