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4-202</w:t>
        <w:t xml:space="preserve">.  </w:t>
      </w:r>
      <w:r>
        <w:rPr>
          <w:b/>
        </w:rPr>
        <w:t xml:space="preserve">Amount of insurance</w:t>
      </w:r>
    </w:p>
    <w:p>
      <w:pPr>
        <w:jc w:val="both"/>
        <w:spacing w:before="100" w:after="100"/>
        <w:ind w:start="360"/>
        <w:ind w:firstLine="360"/>
      </w:pPr>
      <w:r>
        <w:rPr/>
      </w:r>
      <w:r>
        <w:rPr/>
      </w:r>
      <w:r>
        <w:t xml:space="preserve">The provisions of </w:t>
      </w:r>
      <w:r>
        <w:t>Title 24‑A, section 2855</w:t>
      </w:r>
      <w:r>
        <w:t xml:space="preserve">, shall apply to insurance provided or to be provided in relation to a consumer credit transaction.</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§4-202. Amount of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§4-202. Amount of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§4-202. AMOUNT OF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