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4-107</w:t>
        <w:t xml:space="preserve">.  </w:t>
      </w:r>
      <w:r>
        <w:rPr>
          <w:b/>
        </w:rPr>
        <w:t xml:space="preserve">Maximum charge by creditor for insurance</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if a creditor contracts for or receives a separate charge for insurance, the amount charged to the consumer for the insurance may not exceed the premium to be charged by the insurer, as computed at the time the charge to the consumer is determined, conforming to any rate filings required by law and made by the insurer with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A creditor who provides consumer credit insurance in relation to open end credit may calculate the charge to the consumer in each billing cycle by applying the current premium rate to the unpaid balance of debt in the same manner as is permitted with respect to finance charges by the provisions on finance charges for consumer credit sales pursuant to open end credit, </w:t>
      </w:r>
      <w:r>
        <w:t>section 2‑202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2021, c. 676, Pt. A,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§4-107. Maximum charge by creditor for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§4-107. Maximum charge by creditor for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§4-107. MAXIMUM CHARGE BY CREDITOR FOR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