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4-104</w:t>
        <w:t xml:space="preserve">.  </w:t>
      </w:r>
      <w:r>
        <w:rPr>
          <w:b/>
        </w:rPr>
        <w:t xml:space="preserve">Creditor's provision of and charge for insurance; excess amount of charge</w:t>
      </w:r>
    </w:p>
    <w:p>
      <w:pPr>
        <w:jc w:val="both"/>
        <w:spacing w:before="100" w:after="0"/>
        <w:ind w:start="360"/>
        <w:ind w:firstLine="360"/>
      </w:pPr>
      <w:r>
        <w:rPr>
          <w:b/>
        </w:rPr>
        <w:t>1</w:t>
        <w:t xml:space="preserve">.  </w:t>
      </w:r>
      <w:r>
        <w:rPr>
          <w:b/>
        </w:rPr>
      </w:r>
      <w:r>
        <w:t xml:space="preserve"> </w:t>
      </w:r>
      <w:r>
        <w:t xml:space="preserve">Except as otherwise provided in </w:t>
      </w:r>
      <w:r>
        <w:t>Parts 1</w:t>
      </w:r>
      <w:r>
        <w:t xml:space="preserve">, </w:t>
      </w:r>
      <w:r>
        <w:t>2</w:t>
      </w:r>
      <w:r>
        <w:t xml:space="preserve"> and </w:t>
      </w:r>
      <w:r>
        <w:t>3</w:t>
      </w:r>
      <w:r>
        <w:t xml:space="preserve"> of this Article and subject to the provisions on additional charges, </w:t>
      </w:r>
      <w:r>
        <w:t>section 2‑501</w:t>
      </w:r>
      <w:r>
        <w:t xml:space="preserve">, and maximum finance charges, </w:t>
      </w:r>
      <w:r>
        <w:t>Parts 2</w:t>
      </w:r>
      <w:r>
        <w:t xml:space="preserve"> and </w:t>
      </w:r>
      <w:r>
        <w:t>4</w:t>
      </w:r>
      <w:r>
        <w:t xml:space="preserve"> of </w:t>
      </w:r>
      <w:r>
        <w:t>Article II</w:t>
      </w:r>
      <w:r>
        <w:t xml:space="preserve">, a creditor may agree to provide insurance, and may contract for and receive a charge for insurance separate from and in addition to other charges. A creditor need not make a separate charge for insurance provided or required by that creditor. This Act does not authorize the issuance of any insurance prohibited under any statute, or rule thereunder, governing the business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§2 (AMD).]</w:t>
      </w:r>
    </w:p>
    <w:p>
      <w:pPr>
        <w:jc w:val="both"/>
        <w:spacing w:before="100" w:after="0"/>
        <w:ind w:start="360"/>
        <w:ind w:firstLine="360"/>
      </w:pPr>
      <w:r>
        <w:rPr>
          <w:b/>
        </w:rPr>
        <w:t>2</w:t>
        <w:t xml:space="preserve">.  </w:t>
      </w:r>
      <w:r>
        <w:rPr>
          <w:b/>
        </w:rPr>
      </w:r>
      <w:r>
        <w:t xml:space="preserve"> </w:t>
      </w:r>
      <w:r>
        <w:t xml:space="preserve">The excess amount of a charge for insurance provided for in agreements in violation of </w:t>
      </w:r>
      <w:r>
        <w:t>Parts 1</w:t>
      </w:r>
      <w:r>
        <w:t xml:space="preserve">, </w:t>
      </w:r>
      <w:r>
        <w:t>2</w:t>
      </w:r>
      <w:r>
        <w:t xml:space="preserve"> and </w:t>
      </w:r>
      <w:r>
        <w:t>3</w:t>
      </w:r>
      <w:r>
        <w:t xml:space="preserve"> of this Article is an excess charge for the purposes of the provisions of the Article on Remedies and Penalties, </w:t>
      </w:r>
      <w:r>
        <w:t>Article V</w:t>
      </w:r>
      <w:r>
        <w:t xml:space="preserve">, as to effect of violations on rights of parties, </w:t>
      </w:r>
      <w:r>
        <w:t>section 5‑201</w:t>
      </w:r>
      <w:r>
        <w:t xml:space="preserve">, and of the provisions of the Article on Administration, </w:t>
      </w:r>
      <w:r>
        <w:t>Article VI</w:t>
      </w:r>
      <w:r>
        <w:t xml:space="preserve">, as to civil actions by the administrator, </w:t>
      </w:r>
      <w:r>
        <w:t>section 6‑113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§2 (AMD).]</w:t>
      </w:r>
    </w:p>
    <w:p>
      <w:pPr>
        <w:jc w:val="both"/>
        <w:spacing w:before="100" w:after="0"/>
        <w:ind w:start="360"/>
        <w:ind w:firstLine="360"/>
      </w:pPr>
      <w:r>
        <w:rPr>
          <w:b/>
        </w:rPr>
        <w:t>3</w:t>
        <w:t xml:space="preserve">.  </w:t>
      </w:r>
      <w:r>
        <w:rPr>
          <w:b/>
        </w:rPr>
      </w:r>
      <w:r>
        <w:t xml:space="preserve"> </w:t>
      </w:r>
      <w:r>
        <w:t xml:space="preserve">In any consumer credit sale or any supervised loan, except pursuant to open-end credit sales, a creditor may not contract for or receive a separate charge for consumer credit insurance providing for accident and health coverage unless there is a minimum payment of $30 per month or a loan duration of at least 18 months. All consumer credit insurance providing for accident and health coverage in any consumer credit sale or any supervised loan shall provide for a waiting period of 30 days or more. If a creditor offers consumer credit insurance providing for accident and health coverage for which a separate charge may be received, the creditor shall offer the consumer the option of purchasing consumer credit insurance which does not pay a benefit for the 30-day waiting period and shall disclose to the consumer the cost thereof in accordance with </w:t>
      </w:r>
      <w:r>
        <w:t>section 2‑501,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288, §2 (AMD). PL 1981, c. 151 (AMD). PL 1997, c. 315,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§4-104. Creditor's provision of and charge for insurance; excess amount of 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§4-104. Creditor's provision of and charge for insurance; excess amount of 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§4-104. CREDITOR'S PROVISION OF AND CHARGE FOR INSURANCE; EXCESS AMOUNT OF 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