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3-507</w:t>
        <w:t xml:space="preserve">.  </w:t>
      </w:r>
      <w:r>
        <w:rPr>
          <w:b/>
        </w:rPr>
        <w:t xml:space="preserve">Violation as unfair trade practice</w:t>
      </w:r>
    </w:p>
    <w:p>
      <w:pPr>
        <w:jc w:val="both"/>
        <w:spacing w:before="100" w:after="100"/>
        <w:ind w:start="360"/>
        <w:ind w:firstLine="360"/>
      </w:pPr>
      <w:r>
        <w:rPr/>
      </w:r>
      <w:r>
        <w:rPr/>
      </w:r>
      <w:r>
        <w:t xml:space="preserve">Any violation of this Part shall constitute a violation of </w:t>
      </w:r>
      <w:r>
        <w:t>Title 5, chapter 10</w:t>
      </w:r>
      <w:r>
        <w:t xml:space="preserv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§3-507. Violation as unfair trade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§3-507. Violation as unfair trade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§3-507. VIOLATION AS UNFAIR TRADE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