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3-314</w:t>
        <w:t xml:space="preserve">.  </w:t>
      </w:r>
      <w:r>
        <w:rPr>
          <w:b/>
        </w:rPr>
        <w:t xml:space="preserve">Privacy of consumer financial information</w:t>
      </w:r>
    </w:p>
    <w:p>
      <w:pPr>
        <w:jc w:val="both"/>
        <w:spacing w:before="100" w:after="100"/>
        <w:ind w:start="360"/>
        <w:ind w:firstLine="360"/>
      </w:pPr>
      <w:r>
        <w:rPr/>
      </w:r>
      <w:r>
        <w:rPr/>
      </w:r>
      <w:r>
        <w:t xml:space="preserve">A creditor shall comply with the provisions of the federal Gramm-Leach-Bliley Act, 15 United States Code, Section 6801 et seq. (1999) and the applicable implementing federal Privacy of Consumer Information regulations, as adopted by the Office of the Comptroller of the Currency, 12 Code of Federal Regulations, Part 40 (2001); the Board of Governors of the Federal Reserve System, 12 Code of Federal Regulations, Part 216 (2001); the Federal Deposit Insurance Corporation, 12 Code of Federal Regulations, Part 332 (2001); the Office of Thrift Supervision, 12 Code of Federal Regulations, Part 573 (2001); the National Credit Union Administration, 12 Code of Federal Regulations, Part 716 (2001); the Federal Trade Commission, 16 Code of Federal Regulations, Part 313 (2001); or the Securities and Exchange Commission, 17 Code of Federal Regulations, Part 248 (2001), if the creditor is a financial institution as defined in those regulations. This section is not intended to permit the release of health care information except as permitted by </w:t>
      </w:r>
      <w:r>
        <w:t>Title 22, section 1711‑C</w:t>
      </w:r>
      <w:r>
        <w:t xml:space="preserve"> or </w:t>
      </w:r>
      <w:r>
        <w:t>Title 24‑A, chapter 24</w:t>
      </w:r>
      <w:r>
        <w:t xml:space="preserve">.  This section does not apply to a supervised financial organization.</w:t>
      </w:r>
      <w:r>
        <w:t xml:space="preserve">  </w:t>
      </w:r>
      <w:r xmlns:wp="http://schemas.openxmlformats.org/drawingml/2010/wordprocessingDrawing" xmlns:w15="http://schemas.microsoft.com/office/word/2012/wordml">
        <w:rPr>
          <w:rFonts w:ascii="Arial" w:hAnsi="Arial" w:cs="Arial"/>
          <w:sz w:val="22"/>
          <w:szCs w:val="22"/>
        </w:rPr>
        <w:t xml:space="preserve">[PL 2001, c. 262, Pt. A,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262, §A1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§3-314. Privacy of consumer financial information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§3-314. Privacy of consumer financial information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§3-314. PRIVACY OF CONSUMER FINANCIAL INFORMATION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