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2-701</w:t>
        <w:t xml:space="preserve">.  </w:t>
      </w:r>
      <w:r>
        <w:rPr>
          <w:b/>
        </w:rPr>
        <w:t xml:space="preserve">Engaging in pretense to evade requirements of this Article prohibited</w:t>
      </w:r>
    </w:p>
    <w:p>
      <w:pPr>
        <w:jc w:val="both"/>
        <w:spacing w:before="100" w:after="100"/>
        <w:ind w:start="360"/>
        <w:ind w:firstLine="360"/>
      </w:pPr>
      <w:r>
        <w:rPr/>
      </w:r>
      <w:r>
        <w:rPr/>
      </w:r>
      <w:r>
        <w:t xml:space="preserve">An entity covered by this Article may not engage in any device, subterfuge or pretense to evade the requirements of this Article, including, but not limited to, making a loan disguised as a personal property sale and leaseback transaction, disguising loan proceeds as a cash rebate for the pretextual installment sale of goods or services or making, offering, assisting or arranging a debtor to obtain a loan with a greater rate of interest, consideration or charge than is permitted by this Article through any method.  A loan made in violation of this Part is void and uncollectible as to any principal, fee, interest or charge.</w:t>
      </w:r>
      <w:r>
        <w:t xml:space="preserve">  </w:t>
      </w:r>
      <w:r xmlns:wp="http://schemas.openxmlformats.org/drawingml/2010/wordprocessingDrawing" xmlns:w15="http://schemas.microsoft.com/office/word/2012/wordml">
        <w:rPr>
          <w:rFonts w:ascii="Arial" w:hAnsi="Arial" w:cs="Arial"/>
          <w:sz w:val="22"/>
          <w:szCs w:val="22"/>
        </w:rPr>
        <w:t xml:space="preserve">[PL 2021, c. 297,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§2-701. Engaging in pretense to evade requirements of this Article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§2-701. Engaging in pretense to evade requirements of this Article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§2-701. ENGAGING IN PRETENSE TO EVADE REQUIREMENTS OF THIS ARTICLE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