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2-307</w:t>
        <w:t xml:space="preserve">.  </w:t>
      </w:r>
      <w:r>
        <w:rPr>
          <w:b/>
        </w:rPr>
        <w:t xml:space="preserve">Restrictions on interest in land as security</w:t>
      </w:r>
    </w:p>
    <w:p>
      <w:pPr>
        <w:jc w:val="both"/>
        <w:spacing w:before="100" w:after="0"/>
        <w:ind w:start="360"/>
        <w:ind w:firstLine="360"/>
      </w:pPr>
      <w:r>
        <w:rPr>
          <w:b/>
        </w:rPr>
        <w:t>1</w:t>
        <w:t xml:space="preserve">.  </w:t>
      </w:r>
      <w:r>
        <w:rPr>
          <w:b/>
        </w:rPr>
      </w:r>
      <w:r>
        <w:t xml:space="preserve"> </w:t>
      </w:r>
      <w:r>
        <w:t xml:space="preserve">With respect to a supervised loan in which the annual percentage rate disclosed is greater than 18%, a lender may not contract for an interest in land as security. 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a supervised loan in which the amount financed is $2,800 or less, a lender may not take a security interest in the principal residence of the consumer.  This subsection does not apply when the lender holds a first mortgage on the residence at the time the loan is made or when the loan is made pursuant to an open-end credit plan involving a commitment to advance amounts in excess of $2,800. Notwithstanding </w:t>
      </w:r>
      <w:r>
        <w:t>Title 14</w:t>
      </w:r>
      <w:r>
        <w:t xml:space="preserve">, a judgment of foreclosure of a mortgage upon the principal residence of a consumer may not be entered on account of the consumer's failure to repay supervised loans under an open-end credit plan, unless the consumer's outstanding balance in the account at the end of the statement period has at some time exceeded $2,800 and the consumer has not paid the account in full subsequent to the date of the last periodic statement showing an outstanding balance in excess of $2,800.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§8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1979, c. 660, §6 (AMD). PL 1981, c. 470, §A18 (AMD). PL 1985, c. 137, §§1,2 (AMD). PL 1985, c. 763, §§A27,28 (AMD). PL 1997, c. 727, §§B6,7 (AMD). PL 2011, c. 427, Pt. D,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§2-307. Restrictions on interest in land as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§2-307. Restrictions on interest in land as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§2-307. RESTRICTIONS ON INTEREST IN LAND AS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