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2-102</w:t>
        <w:t xml:space="preserve">.  </w:t>
      </w:r>
      <w:r>
        <w:rPr>
          <w:b/>
        </w:rPr>
        <w:t xml:space="preserve">Scope</w:t>
      </w:r>
    </w:p>
    <w:p>
      <w:pPr>
        <w:jc w:val="both"/>
        <w:spacing w:before="100" w:after="100"/>
        <w:ind w:start="360"/>
        <w:ind w:firstLine="360"/>
      </w:pPr>
      <w:r>
        <w:rPr/>
      </w:r>
      <w:r>
        <w:rPr/>
      </w:r>
      <w:r>
        <w:t>Part 2</w:t>
      </w:r>
      <w:r>
        <w:t xml:space="preserve"> of this Article applies to consumer credit sales. </w:t>
      </w:r>
      <w:r>
        <w:t>Parts 3</w:t>
      </w:r>
      <w:r>
        <w:t xml:space="preserve"> and </w:t>
      </w:r>
      <w:r>
        <w:t>4</w:t>
      </w:r>
      <w:r>
        <w:t xml:space="preserve"> apply to consumer loans, including loans made by supervised lenders. </w:t>
      </w:r>
      <w:r>
        <w:t>Part 5</w:t>
      </w:r>
      <w:r>
        <w:t xml:space="preserve"> applies to other charges and modifications with respect to consumer credit transactions. </w:t>
      </w:r>
      <w:r>
        <w:t>Part 6</w:t>
      </w:r>
      <w:r>
        <w:t xml:space="preserve"> applies to other credit transactions.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§2-102. Scope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§2-102. Scope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§2-102. SCOPE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