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16-107</w:t>
        <w:t xml:space="preserve">.  </w:t>
      </w:r>
      <w:r>
        <w:rPr>
          <w:b/>
        </w:rPr>
        <w:t xml:space="preserve">Record retention</w:t>
      </w:r>
    </w:p>
    <w:p>
      <w:pPr>
        <w:jc w:val="both"/>
        <w:spacing w:before="100" w:after="100"/>
        <w:ind w:start="360"/>
        <w:ind w:firstLine="360"/>
      </w:pPr>
      <w:r>
        <w:rPr/>
      </w:r>
      <w:r>
        <w:rPr/>
      </w:r>
      <w:r>
        <w:t xml:space="preserve">A private education lender shall establish and maintain records and permit the superintendent to access and copy any records required to be maintained pursuant to this Article.  The private education lender shall retain a loan file, including any record specified for retention by rules adopted by the superintendent, for at least 6 years after the termination of the loan account.</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§16-107. Record retention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§16-107. Record retention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§16-107. RECORD RETENTION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