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16-102</w:t>
        <w:t xml:space="preserve">.  </w:t>
      </w:r>
      <w:r>
        <w:rPr>
          <w:b/>
        </w:rPr>
        <w:t xml:space="preserve">License required</w:t>
      </w:r>
    </w:p>
    <w:p>
      <w:pPr>
        <w:jc w:val="both"/>
        <w:spacing w:before="100" w:after="100"/>
        <w:ind w:start="360"/>
        <w:ind w:firstLine="360"/>
      </w:pPr>
      <w:r>
        <w:rPr/>
      </w:r>
      <w:r>
        <w:rPr/>
      </w:r>
      <w:r>
        <w:t xml:space="preserve">A person may not engage in the business of securing, making or extending a private education loan or holding a private education loan without having first obtained a license as a supervised lender from the administrator pursuant to </w:t>
      </w:r>
      <w:r>
        <w:t>section 2‑301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§16-102. License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§16-102. License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§16-102. LICENSE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