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13-111</w:t>
        <w:t xml:space="preserve">.  </w:t>
      </w:r>
      <w:r>
        <w:rPr>
          <w:b/>
        </w:rPr>
        <w:t xml:space="preserve">Nationwide mortgage licensing system and registry information challenge process</w:t>
      </w:r>
    </w:p>
    <w:p>
      <w:pPr>
        <w:jc w:val="both"/>
        <w:spacing w:before="100" w:after="100"/>
        <w:ind w:start="360"/>
        <w:ind w:firstLine="360"/>
      </w:pPr>
      <w:r>
        <w:rPr/>
      </w:r>
      <w:r>
        <w:rPr/>
      </w:r>
      <w:r>
        <w:t xml:space="preserve">The administrator shall establish a process by which mortgage loan originators may challenge information entered into the nationwide mortgage licensing system and registry by the administrator.</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§13-111. Nationwide mortgage licensing system and registry information challenge process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§13-111. Nationwide mortgage licensing system and registry information challenge process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§13-111. NATIONWIDE MORTGAGE LICENSING SYSTEM AND REGISTRY INFORMATION CHALLENGE PROCESS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