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394, §1 (NEW); PL 2007, c. 394, §3 (AFF).]</w:t>
      </w:r>
    </w:p>
    <w:p>
      <w:pPr>
        <w:jc w:val="both"/>
        <w:spacing w:before="100" w:after="0"/>
        <w:ind w:start="360"/>
        <w:ind w:firstLine="360"/>
      </w:pPr>
      <w:r>
        <w:rPr>
          <w:b/>
        </w:rPr>
        <w:t>1</w:t>
        <w:t xml:space="preserve">.  </w:t>
      </w:r>
      <w:r>
        <w:rPr>
          <w:b/>
        </w:rPr>
      </w:r>
      <w:r>
        <w:t xml:space="preserve"> </w:t>
      </w:r>
      <w:r>
        <w:t xml:space="preserve">"Consumer" means a person or entity residing or domiciled in this State with a pending civil claim or action and represented by an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2</w:t>
        <w:t xml:space="preserve">.  </w:t>
      </w:r>
      <w:r>
        <w:rPr>
          <w:b/>
        </w:rPr>
      </w:r>
      <w:r>
        <w:t xml:space="preserve"> </w:t>
      </w:r>
      <w:r>
        <w:t xml:space="preserve">"Legal funding" means a transaction in which a company makes a cash payment to a consumer in exchange for the right to receive an amount out of the potential proceeds of any realized settlement, judgment, award or verdict the consumer may receive in a civil claim or action.  If no proceeds in the civil claim or action are received, the consumer is not required to pay the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w:pPr>
        <w:jc w:val="both"/>
        <w:spacing w:before="100" w:after="0"/>
        <w:ind w:start="360"/>
        <w:ind w:firstLine="360"/>
      </w:pPr>
      <w:r>
        <w:rPr>
          <w:b/>
        </w:rPr>
        <w:t>3</w:t>
        <w:t xml:space="preserve">.  </w:t>
      </w:r>
      <w:r>
        <w:rPr>
          <w:b/>
        </w:rPr>
      </w:r>
      <w:r>
        <w:t xml:space="preserve"> </w:t>
      </w:r>
      <w:r>
        <w:t xml:space="preserve">"Litigation funding provider" means a person or entity, wherever located, that provides legal funding to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394, §1 (NEW). PL 2007, c. 394,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§12-102.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