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11-122</w:t>
        <w:t xml:space="preserve">.  </w:t>
      </w:r>
      <w:r>
        <w:rPr>
          <w:b/>
        </w:rPr>
        <w:t xml:space="preserve">Privacy of consumer financial information</w:t>
      </w:r>
    </w:p>
    <w:p>
      <w:pPr>
        <w:jc w:val="both"/>
        <w:spacing w:before="100" w:after="100"/>
        <w:ind w:start="360"/>
        <w:ind w:firstLine="360"/>
      </w:pPr>
      <w:r>
        <w:rPr/>
      </w:r>
      <w:r>
        <w:rPr/>
      </w:r>
      <w:r>
        <w:t xml:space="preserve">A merchant who enters into a rental-purchase agreement with a consumer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merchant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  This section does not apply to 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2001, c. 262,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§11-122. Privacy of consumer financial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§11-122. Privacy of consumer financial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§11-122. PRIVACY OF CONSUMER FINANCIAL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