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11-120</w:t>
        <w:t xml:space="preserve">.  </w:t>
      </w:r>
      <w:r>
        <w:rPr>
          <w:b/>
        </w:rPr>
        <w:t xml:space="preserve">Enforcement; penalties</w:t>
      </w:r>
    </w:p>
    <w:p>
      <w:pPr>
        <w:jc w:val="both"/>
        <w:spacing w:before="100" w:after="100"/>
        <w:ind w:start="360"/>
        <w:ind w:firstLine="360"/>
      </w:pPr>
      <w:r>
        <w:rPr/>
      </w:r>
      <w:r>
        <w:rPr/>
      </w:r>
      <w:r>
        <w:t xml:space="preserve">A merchant who violates this Article or any rule issued by the administrator is subject to the following:</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360"/>
        <w:ind w:firstLine="360"/>
      </w:pPr>
      <w:r>
        <w:rPr>
          <w:b/>
        </w:rPr>
        <w:t>1</w:t>
        <w:t xml:space="preserve">.  </w:t>
      </w:r>
      <w:r>
        <w:rPr>
          <w:b/>
        </w:rPr>
      </w:r>
      <w:r>
        <w:t xml:space="preserve"> </w:t>
      </w:r>
      <w:r>
        <w:t xml:space="preserve">After notice and hearing, a cease and desist order and order of restitution from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A civil action, by the administrator through the Attorney General, after which a court, upon a finding of repeated or willful violations or of violation of an assurance of discontinuance, may assess a civil penalty of not more than $5,000;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3</w:t>
        <w:t xml:space="preserve">.  </w:t>
      </w:r>
      <w:r>
        <w:rPr>
          <w:b/>
        </w:rPr>
      </w:r>
      <w:r>
        <w:t xml:space="preserve"> </w:t>
      </w:r>
      <w:r>
        <w:t xml:space="preserve">A civil action by an aggrieved consumer in which the consumer may recover actual damages or $250, whichever is greater, plus costs of the action and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§11-120. Enforcement;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§11-120. Enforcement;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§11-120. ENFORCEMENT;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