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11-110</w:t>
        <w:t xml:space="preserve">.  </w:t>
      </w:r>
      <w:r>
        <w:rPr>
          <w:b/>
        </w:rPr>
        <w:t xml:space="preserve">Calculation of late charges</w:t>
      </w:r>
    </w:p>
    <w:p>
      <w:pPr>
        <w:jc w:val="both"/>
        <w:spacing w:before="100" w:after="100"/>
        <w:ind w:start="360"/>
        <w:ind w:firstLine="360"/>
      </w:pPr>
      <w:r>
        <w:rPr/>
      </w:r>
      <w:r>
        <w:rPr/>
      </w:r>
      <w:r>
        <w:t xml:space="preserve">Any late charge assessed pursuant to </w:t>
      </w:r>
      <w:r>
        <w:t>section 11‑109, subsection 8</w:t>
      </w:r>
      <w:r>
        <w:t xml:space="preserve"> may not exceed the greater of 5% of the delinquent payment amount or $3.  Only one late charge may be assessed on any delinquent payment, regardless of how long the payment remains unpaid.</w:t>
      </w:r>
      <w:r>
        <w:t xml:space="preserve">  </w:t>
      </w:r>
      <w:r xmlns:wp="http://schemas.openxmlformats.org/drawingml/2010/wordprocessingDrawing" xmlns:w15="http://schemas.microsoft.com/office/word/2012/wordml">
        <w:rPr>
          <w:rFonts w:ascii="Arial" w:hAnsi="Arial" w:cs="Arial"/>
          <w:sz w:val="22"/>
          <w:szCs w:val="22"/>
        </w:rPr>
        <w:t xml:space="preserve">[PL 2001, c. 287,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§11-110. Calculation of late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§11-110. Calculation of late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§11-110. CALCULATION OF LATE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