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w:t>
        <w:t xml:space="preserve">.  </w:t>
      </w:r>
      <w:r>
        <w:rPr>
          <w:b/>
        </w:rPr>
        <w:t xml:space="preserve">Jurisdiction and service of process</w:t>
      </w:r>
    </w:p>
    <w:p>
      <w:pPr>
        <w:jc w:val="both"/>
        <w:spacing w:before="100" w:after="0"/>
        <w:ind w:start="360"/>
        <w:ind w:firstLine="360"/>
      </w:pPr>
      <w:r>
        <w:rPr>
          <w:b/>
        </w:rPr>
        <w:t>1</w:t>
        <w:t xml:space="preserve">.  </w:t>
      </w:r>
      <w:r>
        <w:rPr>
          <w:b/>
        </w:rPr>
      </w:r>
      <w:r>
        <w:t xml:space="preserve"> </w:t>
      </w:r>
      <w:r>
        <w:t xml:space="preserve">The Superior and District Courts of this State may exercise jurisdiction over any creditor with respect to any conduct in this State governed by this Act or with respect to any claim arising from a transaction subject to this Act. In addition to any other method provided by rule or by statute, personal jurisdiction over a creditor may be acquired in a civil action or proceeding instituted in the Superior and District Courts by the service of process in the manner provided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a creditor is not a resident of this State or is a corporation not authorized to do business in this State and engages in any conduct in this State governed by this Act, or engages in a transaction subject to this Act, the creditor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the Secretary of State is not effective unless the plaintiff or petitioner forthwith mails a copy of the process and pleading by registered or certified mail to the defendant or respondent at the defendant's or respondent's last reasonably ascertainable address.  An affidavit of compliance with this section must be filed with the clerk of the court on or before the return day of the process, if any, or within any further time the court allows.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 Jurisdiction and service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 Jurisdiction and service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§1-203. JURISDICTION AND SERVICE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