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563</w:t>
        <w:t xml:space="preserve">.  </w:t>
      </w:r>
      <w:r>
        <w:rPr>
          <w:b/>
        </w:rPr>
        <w:t xml:space="preserve">Fees</w:t>
      </w:r>
    </w:p>
    <w:p>
      <w:pPr>
        <w:jc w:val="both"/>
        <w:spacing w:before="100" w:after="100"/>
        <w:ind w:start="360"/>
        <w:ind w:firstLine="360"/>
      </w:pPr>
      <w:r>
        <w:rPr/>
      </w:r>
      <w:r>
        <w:rPr/>
      </w:r>
      <w:r>
        <w:t xml:space="preserve">The fee for the inspection of all structures and the annual license for motor vehicle raceways is $300. The fee permits the holder of any motor vehicle raceway license to provide entertainment events such as auto thrill shows, motorcycle acts and other spectacular stunts at the licensed raceway. These events must be included in the certificate of public liability required pursuant to </w:t>
      </w:r>
      <w:r>
        <w:t>section 562</w:t>
      </w:r>
      <w:r>
        <w:t xml:space="preserve">. These fees must accompany the application and be credited to a special revenue account to defray expenses in carrying out this section. Any balance of these fees does not lapse but is carried forward as a continuing account to be expended for the same purposes in the following years.</w:t>
      </w:r>
      <w:r>
        <w:t xml:space="preserve">  </w:t>
      </w:r>
      <w:r xmlns:wp="http://schemas.openxmlformats.org/drawingml/2010/wordprocessingDrawing" xmlns:w15="http://schemas.microsoft.com/office/word/2012/wordml">
        <w:rPr>
          <w:rFonts w:ascii="Arial" w:hAnsi="Arial" w:cs="Arial"/>
          <w:sz w:val="22"/>
          <w:szCs w:val="22"/>
        </w:rPr>
        <w:t xml:space="preserve">[PL 1997, c. 728,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§2 (NEW). PL 1983, c. 210 (RPR). PL 1995, c. 533, §2 (AMD). PL 1997, c. 728,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§563.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§563.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§563.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