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Permits</w:t>
      </w:r>
    </w:p>
    <w:p>
      <w:pPr>
        <w:jc w:val="both"/>
        <w:spacing w:before="100" w:after="0"/>
        <w:ind w:start="360"/>
        <w:ind w:firstLine="360"/>
      </w:pPr>
      <w:r>
        <w:rPr>
          <w:b/>
        </w:rPr>
        <w:t>1</w:t>
        <w:t xml:space="preserve">.  </w:t>
      </w:r>
      <w:r>
        <w:rPr>
          <w:b/>
        </w:rPr>
        <w:t xml:space="preserve">Violation.</w:t>
        <w:t xml:space="preserve"> </w:t>
      </w:r>
      <w:r>
        <w:t xml:space="preserve"> </w:t>
      </w:r>
      <w:r>
        <w:t xml:space="preserve">After notice of the establishment of grades or standards and the determination of brands, labels or trademarks, a person may not use a brand, label or trademark to identify farm products and sardines as being of a grade established before a permit is granted or after the revocation of the right to use such brand, label or trademark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§57 (AMD). PL 2003, c. 452, §B1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§445.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