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294</w:t>
        <w:t xml:space="preserve">.  </w:t>
      </w:r>
      <w:r>
        <w:rPr>
          <w:b/>
        </w:rPr>
        <w:t xml:space="preserve">Permaculture, edible landscaping, food forests and community gardens</w:t>
      </w:r>
    </w:p>
    <w:p>
      <w:pPr>
        <w:jc w:val="both"/>
        <w:spacing w:before="100" w:after="100"/>
        <w:ind w:start="360"/>
        <w:ind w:firstLine="360"/>
      </w:pPr>
      <w:r>
        <w:rPr/>
      </w:r>
      <w:r>
        <w:rPr/>
      </w:r>
      <w:r>
        <w:t xml:space="preserve">Pursuant to the right to food as declared in the Constitution of Maine, Article I, Section 25, any political subdivision of the State may develop and implement a program to promote permaculture and establish edible landscaping, food forests and community gardens in public spaces, including publicly owned properties, rights-of-way, school grounds, parks and parking lots.</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w:pPr>
        <w:jc w:val="both"/>
        <w:spacing w:before="100" w:after="100"/>
        <w:ind w:start="360"/>
        <w:ind w:firstLine="360"/>
      </w:pPr>
      <w:r>
        <w:rPr/>
      </w:r>
      <w:r>
        <w:rPr/>
      </w:r>
      <w:r>
        <w:t xml:space="preserve">A political subdivision of the State that develops and implements a program under this section may seek and accept money from public and private sources for the development and maintenance of permaculture, edible landscaping, food forests or community gardens and collaborate with local, state or regional public or private entities with expertise in the design and maintenance of permaculture, edible landscaping, food forests or community gardens.</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§294. Permaculture, edible landscaping, food forests and community gardens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§294. Permaculture, edible landscaping, food forests and community gardens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§294. PERMACULTURE, EDIBLE LANDSCAPING, FOOD FORESTS AND COMMUNITY GARDENS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