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284-B</w:t>
        <w:t xml:space="preserve">.  </w:t>
      </w:r>
      <w:r>
        <w:rPr>
          <w:b/>
        </w:rPr>
        <w:t xml:space="preserve">Construction</w:t>
      </w:r>
    </w:p>
    <w:p>
      <w:pPr>
        <w:jc w:val="both"/>
        <w:spacing w:before="100" w:after="100"/>
        <w:ind w:start="360"/>
        <w:ind w:firstLine="360"/>
      </w:pPr>
      <w:r>
        <w:rPr/>
      </w:r>
      <w:r>
        <w:rPr/>
      </w:r>
      <w:r>
        <w:t xml:space="preserve">To advance food sovereignty, the principles of food sovereignty pursuant to </w:t>
      </w:r>
      <w:r>
        <w:t>section 283‑A</w:t>
      </w:r>
      <w:r>
        <w:t xml:space="preserve"> and the policy of the State as set forth in this chapter, and to protect the right to food as declared in the Constitution of Maine, Article I, Section 25, this chapter may not be construed to require a specific form or framework for any ordinance regarding traditional foodways or direct producer-to-consumer transactions authorized pursuant to </w:t>
      </w:r>
      <w:r>
        <w:t>section 284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309, §13 (NEW).]</w:t>
      </w:r>
    </w:p>
    <w:p>
      <w:pPr>
        <w:jc w:val="both"/>
        <w:spacing w:before="100" w:after="100"/>
        <w:ind w:start="360"/>
        <w:ind w:firstLine="360"/>
      </w:pPr>
      <w:r>
        <w:rPr/>
      </w:r>
      <w:r>
        <w:rPr/>
      </w:r>
      <w:r>
        <w:t xml:space="preserve">In accordance with </w:t>
      </w:r>
      <w:r>
        <w:t>Title 30‑A, section 3001, subsections 1</w:t>
      </w:r>
      <w:r>
        <w:t xml:space="preserve"> and </w:t>
      </w:r>
      <w:r>
        <w:t>3</w:t>
      </w:r>
      <w:r>
        <w:t xml:space="preserve">, any ordinance regarding traditional foodways or direct producer-to-consumer transactions must be liberally construed to effectuate the purpose of that ordinance.</w:t>
      </w:r>
      <w:r>
        <w:t xml:space="preserve">  </w:t>
      </w:r>
      <w:r xmlns:wp="http://schemas.openxmlformats.org/drawingml/2010/wordprocessingDrawing" xmlns:w15="http://schemas.microsoft.com/office/word/2012/wordml">
        <w:rPr>
          <w:rFonts w:ascii="Arial" w:hAnsi="Arial" w:cs="Arial"/>
          <w:sz w:val="22"/>
          <w:szCs w:val="22"/>
        </w:rPr>
        <w:t xml:space="preserve">[PL 2025, c. 309,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§284-B.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§284-B.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§284-B.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