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305. ERADICATION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