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2026</w:t>
        <w:t xml:space="preserve">.  </w:t>
      </w:r>
      <w:r>
        <w:rPr>
          <w:b/>
        </w:rPr>
        <w:t xml:space="preserve">Prohibited contract, use or purchase by judicial branch and legislative branch</w:t>
      </w:r>
    </w:p>
    <w:p>
      <w:pPr>
        <w:jc w:val="both"/>
        <w:spacing w:before="100" w:after="100"/>
        <w:ind w:start="360"/>
        <w:ind w:firstLine="360"/>
      </w:pPr>
      <w:r>
        <w:rPr/>
      </w:r>
      <w:r>
        <w:rPr/>
      </w:r>
      <w:r>
        <w:t xml:space="preserve">Except as provided in </w:t>
      </w:r>
      <w:r>
        <w:t>sections 2027</w:t>
      </w:r>
      <w:r>
        <w:t xml:space="preserve">, </w:t>
      </w:r>
      <w:r>
        <w:t>2029</w:t>
      </w:r>
      <w:r>
        <w:t xml:space="preserve"> and </w:t>
      </w:r>
      <w:r>
        <w:t>2030</w:t>
      </w:r>
      <w:r>
        <w:t xml:space="preserve">, an office of the legislative branch or judicial branch may not contract with a company included on the list of prohibited companies established and maintained by the Chief Information Officer pursuant to </w:t>
      </w:r>
      <w:r>
        <w:t>section 2022, subsection 1</w:t>
      </w:r>
      <w:r>
        <w:t xml:space="preserve"> or use, obtain or purchase any information or communications technology or services included on the list of prohibited information and communications technology and services established and maintained by the Chief Information Officer pursuant to </w:t>
      </w:r>
      <w:r>
        <w:t>section 2022, subsection 2</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§2026. Prohibited contract, use or purchase by judicial branch and legislative branch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§2026. Prohibited contract, use or purchase by judicial branch and legislative branch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§2026. PROHIBITED CONTRACT, USE OR PURCHASE BY JUDICIAL BRANCH AND LEGISLATIVE BRANCH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