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w:t>
        <w:t xml:space="preserve">.  </w:t>
      </w:r>
      <w:r>
        <w:rPr>
          <w:b/>
        </w:rPr>
        <w:t xml:space="preserve">Prohibited contract, use or purchase by state agency</w:t>
      </w:r>
    </w:p>
    <w:p>
      <w:pPr>
        <w:jc w:val="both"/>
        <w:spacing w:before="100" w:after="100"/>
        <w:ind w:start="360"/>
        <w:ind w:firstLine="360"/>
      </w:pPr>
      <w:r>
        <w:rPr/>
      </w:r>
      <w:r>
        <w:rPr/>
      </w:r>
      <w:r>
        <w:t xml:space="preserve">Except as provided in </w:t>
      </w:r>
      <w:r>
        <w:t>sections 2027</w:t>
      </w:r>
      <w:r>
        <w:t xml:space="preserve"> and </w:t>
      </w:r>
      <w:r>
        <w:t>2028</w:t>
      </w:r>
      <w:r>
        <w:t xml:space="preserve">, a state agency may not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§2023. Prohibited contract, use or purchase by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 Prohibited contract, use or purchase by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§2023. PROHIBITED CONTRACT, USE OR PURCHASE BY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