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Chief Information Officer.</w:t>
        <w:t xml:space="preserve"> </w:t>
      </w:r>
      <w:r>
        <w:t xml:space="preserve"> </w:t>
      </w:r>
      <w:r>
        <w:t xml:space="preserve">"Chief Information Officer" has the same meaning as in </w:t>
      </w:r>
      <w:r>
        <w:t>section 1972,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Foreign adversary.</w:t>
        <w:t xml:space="preserve"> </w:t>
      </w:r>
      <w:r>
        <w:t xml:space="preserve"> </w:t>
      </w:r>
      <w:r>
        <w:t xml:space="preserve">"Foreign adversary" means a foreign government or foreign nongovernment person whom the United States Secretary of Commerce has determined, pursuant to 15 Code of Federal Regulations, Section 7.4 (2024), has engaged in a long-term pattern or serious instances of conduct significantly adverse to the national security of the United States or the security and safety of United States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Foreign adversary business entity.</w:t>
        <w:t xml:space="preserve"> </w:t>
      </w:r>
      <w:r>
        <w:t xml:space="preserve"> </w:t>
      </w:r>
      <w:r>
        <w:t xml:space="preserve">"Foreign adversary business entity" means any type of organization, entity or enterprise engaged in commerce, whether operated for profit, that is organized under the laws or rules of a foreign adversary, directly or indirectly owned or controlled by a foreign adversary or domiciled within the geographic borders of a foreign adversary.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4</w:t>
        <w:t xml:space="preserve">.  </w:t>
      </w:r>
      <w:r>
        <w:rPr>
          <w:b/>
        </w:rPr>
        <w:t xml:space="preserve">Local governmental entity.</w:t>
        <w:t xml:space="preserve"> </w:t>
      </w:r>
      <w:r>
        <w:t xml:space="preserve"> </w:t>
      </w:r>
      <w:r>
        <w:t xml:space="preserve">"Local governmental entity" means any local government, political subdivision or school district and any other public or private agency, person, partnership, corporation or business entity acting on behalf of any local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State, or any department, agency, board, commission or other body of State Government, including publicly funded institutions of higher education.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