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13071</w:t>
        <w:t xml:space="preserve">.  </w:t>
      </w:r>
      <w:r>
        <w:rPr>
          <w:b/>
        </w:rPr>
        <w:t xml:space="preserve">Findings</w:t>
      </w:r>
    </w:p>
    <w:p>
      <w:pPr>
        <w:jc w:val="both"/>
        <w:spacing w:before="100" w:after="100"/>
        <w:ind w:start="360"/>
        <w:ind w:firstLine="360"/>
      </w:pPr>
      <w:r>
        <w:rPr/>
      </w:r>
      <w:r>
        <w:rPr/>
      </w:r>
      <w:r>
        <w:t xml:space="preserve">The Legislature finds that the strength of the State's economy is based on the strength of the local economies of municipalities and their ability to adjust to the dramatic changes in the national and international economies. The Legislature also recognizes the need for the coordination of state, regional and local efforts and resources to produce solid economic growth and development for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Economic growth and development is not limited exclusively to the generation of new businesses and business expansions. It requires sufficient housing and infrastructure facilities, planning and availability of an educated and well-trained labor force which are necessary to the prosperity of municipalities.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It is necessary to coordinate the development and delivery of community programs. By coordinating and focusing various community development programs, the impact of these programs can be far more effective. The existence of a central community development agency can improve and facilitate communication and assistance between the State and its municipalities.</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w:pPr>
        <w:jc w:val="both"/>
        <w:spacing w:before="100" w:after="100"/>
        <w:ind w:start="360"/>
        <w:ind w:firstLine="360"/>
      </w:pPr>
      <w:r>
        <w:rPr/>
      </w:r>
      <w:r>
        <w:rPr/>
      </w:r>
      <w:r>
        <w:t xml:space="preserve">By working together, coordinating resources and developing policies which are mutually consistent and consistent with an overall state strategy, the State and its municipalities can realize their potential and prosperity in the future.</w:t>
      </w:r>
      <w:r>
        <w:t xml:space="preserve">  </w:t>
      </w:r>
      <w:r xmlns:wp="http://schemas.openxmlformats.org/drawingml/2010/wordprocessingDrawing" xmlns:w15="http://schemas.microsoft.com/office/word/2012/wordml">
        <w:rPr>
          <w:rFonts w:ascii="Arial" w:hAnsi="Arial" w:cs="Arial"/>
          <w:sz w:val="22"/>
          <w:szCs w:val="22"/>
        </w:rPr>
        <w:t xml:space="preserve">[PL 1987, c. 534, Pt. A, §§ 17,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