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1204</w:t>
        <w:t xml:space="preserve">.  </w:t>
      </w:r>
      <w:r>
        <w:rPr>
          <w:b/>
        </w:rPr>
        <w:t xml:space="preserve">Beneficiaries under disability</w:t>
      </w:r>
    </w:p>
    <w:p>
      <w:pPr>
        <w:jc w:val="both"/>
        <w:spacing w:before="100" w:after="100"/>
        <w:ind w:start="360"/>
        <w:ind w:firstLine="360"/>
      </w:pPr>
      <w:r>
        <w:rPr/>
      </w:r>
      <w:r>
        <w:rPr/>
      </w:r>
      <w:r>
        <w:t xml:space="preserve">Any beneficiary who is entitled to make an election of benefits under </w:t>
      </w:r>
      <w:r>
        <w:t>subchapter 5</w:t>
      </w:r>
      <w:r>
        <w:t xml:space="preserve">, but is not lawfully qualified to make that election, shall have that election made in the beneficiary's behalf by the person authorized to do so by </w:t>
      </w:r>
      <w:r>
        <w:t>Title 18‑C, Article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C, §7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2017, c. 402, Pt. C, §7 (AMD).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§1204. Beneficiaries under disability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§1204. Beneficiaries under disability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§1204. BENEFICIARIES UNDER DISABILITY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