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w:t>
        <w:t xml:space="preserve">.  </w:t>
      </w:r>
      <w:r>
        <w:rPr>
          <w:b/>
        </w:rPr>
        <w:t xml:space="preserve">Burial expenses; incidental compensation</w:t>
      </w:r>
    </w:p>
    <w:p>
      <w:pPr>
        <w:jc w:val="both"/>
        <w:spacing w:before="100" w:after="100"/>
        <w:ind w:start="360"/>
        <w:ind w:firstLine="360"/>
      </w:pPr>
      <w:r>
        <w:rPr/>
      </w:r>
      <w:r>
        <w:rPr/>
      </w:r>
      <w:r>
        <w:t xml:space="preserve">If the employee dies as a result of the injury, the employer shall pay, in addition to any compensation and medical benefits provided for in this Act, the reasonable expenses of burial, not to exceed $4,000 and an additional payment of $3,000 as incidental compensation.  Burial expense reimbursement must be paid to the person who has paid or who is responsible for paying the employee's burial expenses.  The incidental compensation must be paid to the employee's estate.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 Burial expenses; incidental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 Burial expenses; incidental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§216. BURIAL EXPENSES; INCIDENTAL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