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PROCEDURES</w:t>
      </w:r>
    </w:p>
    <w:p>
      <w:pPr>
        <w:jc w:val="center"/>
        <w:ind w:start="360"/>
        <w:spacing w:before="300" w:after="300"/>
      </w:pPr>
      <w:r>
        <w:rPr>
          <w:b/>
        </w:rPr>
        <w:t>SUBCHAPTER</w:t>
        <w:t xml:space="preserve"> </w:t>
        <w:t>1</w:t>
      </w:r>
    </w:p>
    <w:p>
      <w:pPr>
        <w:jc w:val="center"/>
        <w:ind w:start="360"/>
        <w:spacing w:before="300" w:after="300"/>
      </w:pPr>
      <w:r>
        <w:rPr>
          <w:b/>
        </w:rPr>
        <w:t xml:space="preserve">BOARD PROCEEDINGS</w:t>
      </w:r>
    </w:p>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jc w:val="both"/>
        <w:spacing w:before="100" w:after="100"/>
        <w:ind w:start="1080" w:hanging="720"/>
      </w:pPr>
      <w:r>
        <w:rPr>
          <w:b/>
        </w:rPr>
        <w:t>§</w:t>
        <w:t>304</w:t>
        <w:t xml:space="preserve">.  </w:t>
      </w:r>
      <w:r>
        <w:rPr>
          <w:b/>
        </w:rPr>
        <w:t xml:space="preserve">Board notice</w:t>
      </w:r>
    </w:p>
    <w:p>
      <w:pPr>
        <w:jc w:val="both"/>
        <w:spacing w:before="100" w:after="0"/>
        <w:ind w:start="360"/>
        <w:ind w:firstLine="360"/>
      </w:pPr>
      <w:r>
        <w:rPr>
          <w:b/>
        </w:rPr>
        <w:t>1</w:t>
        <w:t xml:space="preserve">.  </w:t>
      </w:r>
      <w:r>
        <w:rPr>
          <w:b/>
        </w:rPr>
        <w:t xml:space="preserve">Inform employee.</w:t>
        <w:t xml:space="preserve"> </w:t>
      </w:r>
      <w:r>
        <w:t xml:space="preserve"> </w:t>
      </w:r>
      <w:r>
        <w:t xml:space="preserve">Immediately upon receipt of the employer's report of injury required by </w:t>
      </w:r>
      <w:r>
        <w:t>section 303</w:t>
      </w:r>
      <w:r>
        <w:t xml:space="preserve">, the board shall contact the employee and provide information explaining the compensation system and the employee's rights.  The board shall advise the employee how to contact the board for further assistance and shall provide that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Notice to employer.</w:t>
        <w:t xml:space="preserve"> </w:t>
      </w:r>
      <w:r>
        <w:t xml:space="preserve"> </w:t>
      </w:r>
      <w:r>
        <w:t xml:space="preserve">The board shall notify the employer when a mediation or formal hearing is scheduled, when a notice of settlement is filed and when any other proceeding regarding a claim of an employee of that employer is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Notice by board.</w:t>
        <w:t xml:space="preserve"> </w:t>
      </w:r>
      <w:r>
        <w:t xml:space="preserve"> </w:t>
      </w:r>
      <w:r>
        <w:t xml:space="preserve">Within 15 days of receipt of an employer's report of injury, as required by </w:t>
      </w:r>
      <w:r>
        <w:t>section 303</w:t>
      </w:r>
      <w:r>
        <w:t xml:space="preserve">, unless it has received a petition for award of compensation relating to the injured employee, the board shall take reasonable steps to notify the employee that, unless the employer disputes the claim, the employer is required to pay compensation within the time limits established in </w:t>
      </w:r>
      <w:r>
        <w:t>section 205</w:t>
      </w:r>
      <w:r>
        <w:t xml:space="preserve">; that a petition for award may be filed; and that rights under this Act may not be protected unless a petition of award or memorandum of payment is on file with the board within 2 years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jc w:val="both"/>
        <w:spacing w:before="100" w:after="100"/>
        <w:ind w:start="1080" w:hanging="720"/>
      </w:pPr>
      <w:r>
        <w:rPr>
          <w:b/>
        </w:rPr>
        <w:t>§</w:t>
        <w:t>307</w:t>
        <w:t xml:space="preserve">.  </w:t>
      </w:r>
      <w:r>
        <w:rPr>
          <w:b/>
        </w:rPr>
        <w:t xml:space="preserve">Procedure for filing petitions; no response required; mediation</w:t>
      </w:r>
    </w:p>
    <w:p>
      <w:pPr>
        <w:jc w:val="both"/>
        <w:spacing w:before="100" w:after="0"/>
        <w:ind w:start="360"/>
        <w:ind w:firstLine="360"/>
      </w:pPr>
      <w:r>
        <w:rPr>
          <w:b/>
        </w:rPr>
        <w:t>1</w:t>
        <w:t xml:space="preserve">.  </w:t>
      </w:r>
      <w:r>
        <w:rPr>
          <w:b/>
        </w:rPr>
        <w:t xml:space="preserve">Petition.</w:t>
        <w:t xml:space="preserve"> </w:t>
      </w:r>
      <w:r>
        <w:t xml:space="preserve"> </w:t>
      </w:r>
      <w:r>
        <w:t xml:space="preserve">Any interested party may seek a determination of rights under this Act by filing with the board any petition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Service upon responding party.</w:t>
        <w:t xml:space="preserve"> </w:t>
      </w:r>
      <w:r>
        <w:t xml:space="preserve"> </w:t>
      </w:r>
      <w:r>
        <w:t xml:space="preserve">Copies of all petitions filed under this Act must be served by certified mail, return receipt requested, to the other parties named in the petition. In the case of a petition by an employee, a copy of the petition must be served upon the employer, employer's insurer or group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No response required.</w:t>
        <w:t xml:space="preserve"> </w:t>
      </w:r>
      <w:r>
        <w:t xml:space="preserve"> </w:t>
      </w:r>
      <w:r>
        <w:t xml:space="preserve">No response to a petition filed under this section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Procedure.</w:t>
        <w:t xml:space="preserve"> </w:t>
      </w:r>
      <w:r>
        <w:t xml:space="preserve"> </w:t>
      </w:r>
      <w:r>
        <w:t xml:space="preserve">A petition filed under this section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Mediation.</w:t>
        <w:t xml:space="preserve"> </w:t>
      </w:r>
      <w:r>
        <w:t xml:space="preserve"> </w:t>
      </w:r>
      <w:r>
        <w:t xml:space="preserve">Mediation must be held in accordance with </w:t>
      </w:r>
      <w:r>
        <w:t>section 313, subsections 2</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308</w:t>
        <w:t xml:space="preserve">.  </w:t>
      </w:r>
      <w:r>
        <w:rPr>
          <w:b/>
        </w:rPr>
        <w:t xml:space="preserve">Employment</w:t>
      </w:r>
    </w:p>
    <w:p>
      <w:pPr>
        <w:jc w:val="both"/>
        <w:spacing w:before="100" w:after="0"/>
        <w:ind w:start="360"/>
        <w:ind w:firstLine="360"/>
      </w:pPr>
      <w:r>
        <w:rPr>
          <w:b/>
        </w:rPr>
        <w:t>1</w:t>
        <w:t xml:space="preserve">.  </w:t>
      </w:r>
      <w:r>
        <w:rPr>
          <w:b/>
        </w:rPr>
        <w:t xml:space="preserve">Return to employment.</w:t>
        <w:t xml:space="preserve"> </w:t>
      </w:r>
      <w:r>
        <w:t xml:space="preserve"> </w:t>
      </w:r>
      <w:r>
        <w:t xml:space="preserve">Any person receiving compensation under this Act who returns to employment or engages in new employment after that person's injury shall file a written report of that employment with the board and that person's previous employer within 7 days of that person's return to work. This report must include the identity of the employee, the employee's employer and the amount of weekly wages or earnings received or to be received by the employee.  The board shall send the employee notice of the employee's responsibility to notify the board and the employer when the employee returns to work and the employee's responsibility to submit the reports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Employment status reports.</w:t>
        <w:t xml:space="preserve"> </w:t>
      </w:r>
      <w:r>
        <w:t xml:space="preserve"> </w:t>
      </w:r>
      <w:r>
        <w:t xml:space="preserve">At the previous employer's request, any person receiving compensation under this Act who has not returned to that person's previous employment must submit quarterly employment status reports to that employer.  The report is due 90 days after the date of injury, or after the filing of the report under </w:t>
      </w:r>
      <w:r>
        <w:t>subsection 1</w:t>
      </w:r>
      <w:r>
        <w:t xml:space="preserve">, and every 90 days thereafter.  The report must be in a form prescribed by the board and must indicate whether the employee has been employed, changed employment or performed any services for compensation during the previous 90 days, the nature of the employment or services, the name and address of the employer or person for whom the services were performed and any other information that the board by rule may require.  Any employer requesting a quarterly report under this subsection must provide the employee with the prescribed form at least 15 days prior to the date on which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2023, c. 405, Pt. A, §144 (AMD). </w:t>
      </w:r>
    </w:p>
    <w:p>
      <w:pPr>
        <w:jc w:val="both"/>
        <w:spacing w:before="100" w:after="100"/>
        <w:ind w:start="1080" w:hanging="720"/>
      </w:pPr>
      <w:r>
        <w:rPr>
          <w:b/>
        </w:rPr>
        <w:t>§</w:t>
        <w:t>309</w:t>
        <w:t xml:space="preserve">.  </w:t>
      </w:r>
      <w:r>
        <w:rPr>
          <w:b/>
        </w:rPr>
        <w:t xml:space="preserve">Subpoenas; evidence; discovery</w:t>
      </w:r>
    </w:p>
    <w:p>
      <w:pPr>
        <w:jc w:val="both"/>
        <w:spacing w:before="100" w:after="0"/>
        <w:ind w:start="360"/>
        <w:ind w:firstLine="360"/>
      </w:pPr>
      <w:r>
        <w:rPr>
          <w:b/>
        </w:rPr>
        <w:t>1</w:t>
        <w:t xml:space="preserve">.  </w:t>
      </w:r>
      <w:r>
        <w:rPr>
          <w:b/>
        </w:rPr>
        <w:t xml:space="preserve">Subpoenas.</w:t>
        <w:t xml:space="preserve"> </w:t>
      </w:r>
      <w:r>
        <w:t xml:space="preserve"> </w:t>
      </w:r>
      <w:r>
        <w:t xml:space="preserve">Any board member or designee of the board may administer oaths and any board member or designee of the board may issue subpoenas for witnesses and subpoenas duces tecum to compel the production of books, papers and photographs relating to any questions in dispute before the board, any matters involved in a hearing or an audit conducted pursuant to </w:t>
      </w:r>
      <w:r>
        <w:t>section 359</w:t>
      </w:r>
      <w:r>
        <w:t xml:space="preserve">.  Witness fees in all proceedings under this Act are the same as for witnesses before the Superior Court.  When a witness, subpoenaed and obliged to attend before the board or any member or designee of the board, fails to do so without reasonable excuse, the Superior Court or any Justice of the Superior Court may, on application of the Attorney General made at the written request of a member of the board, compel obedience by attachment proceedings for contempt as in the case of disobedience of the requirements of a subpoena issued from that court or a refusal to testify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Evidence.</w:t>
        <w:t xml:space="preserve"> </w:t>
      </w:r>
      <w:r>
        <w:t xml:space="preserve"> </w:t>
      </w:r>
      <w:r>
        <w:t xml:space="preserve">The board or its designee need not observe the rules of evidence observed by courts, but shall observe the rules of privilege recognized by law.  The board or its designee shall admit evidence if it is the kind of evidence on which reasonable persons are accustomed to relying in the conduct of serious affairs.  The board or its designee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Witnesses; discovery.</w:t>
        <w:t xml:space="preserve"> </w:t>
      </w:r>
      <w:r>
        <w:t xml:space="preserve"> </w:t>
      </w:r>
      <w:r>
        <w:t xml:space="preserve">All witnesses must be sworn.  Sworn written evidence may not be admitted unless the author is available for cross-examination or subject to subpoena; except that sworn statements by a medical doctor or osteopathic physician relating to medical questions, by a psychologist relating to psychological questions, by a chiropractor relating to chiropractic questions, by a certified nurse practitioner who qualifies as an advanced practice registered nurse relating to advanced practice registered nursing questions or by a physician's assistant relating to physician assistance questions are admissible in workers' compensation hearings only if notice of the testimony to be used is given and service of a copy of the letter or report is made on the opposing counsel 14 days before the scheduled hearing.</w:t>
      </w:r>
    </w:p>
    <w:p>
      <w:pPr>
        <w:jc w:val="both"/>
        <w:spacing w:before="100" w:after="0"/>
        <w:ind w:start="360"/>
      </w:pPr>
      <w:r>
        <w:rPr/>
      </w:r>
      <w:r>
        <w:rPr/>
      </w:r>
      <w:r>
        <w:t xml:space="preserve">Depositions or subpoenas of health care practitioners who have submitted sworn written evidence are permitted only if the administrative law judge finds that the testimony is sufficiently important to outweigh the delay in the proceeding.</w:t>
      </w:r>
    </w:p>
    <w:p>
      <w:pPr>
        <w:jc w:val="both"/>
        <w:spacing w:before="100" w:after="0"/>
        <w:ind w:start="360"/>
      </w:pPr>
      <w:r>
        <w:rPr/>
      </w:r>
      <w:r>
        <w:rPr/>
      </w:r>
      <w:r>
        <w:t xml:space="preserve">The board may establish procedures for the prefiling of summaries of the testimony of any witness in written form.  In all proceedings before the board or its designee, discovery beyond that specified in this section is available only upon application to the board, which may approve the application in the exercise of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§10 (AMD).]</w:t>
      </w:r>
    </w:p>
    <w:p>
      <w:pPr>
        <w:jc w:val="both"/>
        <w:spacing w:before="100" w:after="100"/>
        <w:ind w:start="360"/>
        <w:ind w:firstLine="360"/>
      </w:pPr>
      <w:r>
        <w:rPr>
          <w:b/>
        </w:rPr>
        <w:t>4</w:t>
        <w:t xml:space="preserve">.  </w:t>
      </w:r>
      <w:r>
        <w:rPr>
          <w:b/>
        </w:rPr>
        <w:t xml:space="preserve">Contempts before board.</w:t>
        <w:t xml:space="preserve"> </w:t>
      </w:r>
      <w:r>
        <w:t xml:space="preserve"> </w:t>
      </w:r>
      <w:r>
        <w:t xml:space="preserve">A person may not, in proceedings before the board disobey or resist any lawful order, process or writ; misbehave during a hearing or so near the place of hearing as to obstruct the hearing; neglect to produce, after having been ordered to do so, any  pertinent document; or refuse to appear after having been subpoenaed or, upon appearing, refuse to be examined according to law.</w:t>
      </w:r>
    </w:p>
    <w:p>
      <w:pPr>
        <w:jc w:val="both"/>
        <w:spacing w:before="100" w:after="0"/>
        <w:ind w:start="360"/>
      </w:pPr>
      <w:r>
        <w:rPr/>
      </w:r>
      <w:r>
        <w:rPr/>
      </w:r>
      <w:r>
        <w:t xml:space="preserve">If any person violates this subsection, the board shall certify the facts to a Justice of the Superior Court in the county where the alleged offense occurred and the justice may serve or cause to be served on that person an order requiring that person to appear before the justice on a day certain to show cause why the person should not be adjudged in contempt by reason of the facts so certified. The justice shall, upon the appearance of that person, in a summary manner, hear the evidence as to the acts complained of and, if it is such as to warrant doing so, punish that person in the same manner and to the same extent as for a contempt committed before the justice, or commit that person on the same conditions as if the doing of the forbidden act had occurred with reference to the process of the Superior Court or in the presence of the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99, §1 (AMD). PL 2015, c. 297, §10 (AMD). </w:t>
      </w:r>
    </w:p>
    <w:p>
      <w:pPr>
        <w:jc w:val="both"/>
        <w:spacing w:before="100" w:after="100"/>
        <w:ind w:start="1080" w:hanging="720"/>
      </w:pPr>
      <w:r>
        <w:rPr>
          <w:b/>
        </w:rPr>
        <w:t>§</w:t>
        <w:t>310</w:t>
        <w:t xml:space="preserve">.  </w:t>
      </w:r>
      <w:r>
        <w:rPr>
          <w:b/>
        </w:rPr>
        <w:t xml:space="preserve">Protection</w:t>
      </w:r>
    </w:p>
    <w:p>
      <w:pPr>
        <w:jc w:val="both"/>
        <w:spacing w:before="100" w:after="100"/>
        <w:ind w:start="360"/>
        <w:ind w:firstLine="360"/>
      </w:pPr>
      <w:r>
        <w:rPr/>
      </w:r>
      <w:r>
        <w:rPr/>
      </w:r>
      <w:r>
        <w:t xml:space="preserve">Except for statements made in proceedings before the board, a statement to any investigator or employer's representative, of any kind, oral or written, recorded or unrecorded, made by the injured employee is not admissible in evidence or considered in any way in any proceeding under this Act, except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Admissible statements.</w:t>
        <w:t xml:space="preserve"> </w:t>
      </w:r>
      <w:r>
        <w:t xml:space="preserve"> </w:t>
      </w:r>
      <w:r>
        <w:t xml:space="preserve">A statement made to any investigator or employer's representative, of any kind, oral or written, recorded or unrecorded, made by the injured employee is admissible in evidence or may be considered in proceedings only if:</w:t>
      </w:r>
    </w:p>
    <w:p>
      <w:pPr>
        <w:jc w:val="both"/>
        <w:spacing w:before="100" w:after="0"/>
        <w:ind w:start="720"/>
      </w:pPr>
      <w:r>
        <w:rPr/>
        <w:t>A</w:t>
        <w:t xml:space="preserve">.  </w:t>
      </w:r>
      <w:r>
        <w:rPr/>
      </w:r>
      <w:r>
        <w:t xml:space="preserve">It is in writing;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true copy of the statement is delivered to the employee by certified mail;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 has been previously advised in writing of the following:</w:t>
      </w:r>
    </w:p>
    <w:p>
      <w:pPr>
        <w:jc w:val="both"/>
        <w:spacing w:before="100" w:after="0"/>
        <w:ind w:start="1080"/>
      </w:pPr>
      <w:r>
        <w:rPr/>
        <w:t>(</w:t>
        <w:t>1</w:t>
        <w:t xml:space="preserve">)  </w:t>
      </w:r>
      <w:r>
        <w:rPr/>
      </w:r>
      <w:r>
        <w:t xml:space="preserve">That the statement may be used against the employee;</w:t>
      </w:r>
    </w:p>
    <w:p>
      <w:pPr>
        <w:jc w:val="both"/>
        <w:spacing w:before="100" w:after="0"/>
        <w:ind w:start="1080"/>
      </w:pPr>
      <w:r>
        <w:rPr/>
        <w:t>(</w:t>
        <w:t>2</w:t>
        <w:t xml:space="preserve">)  </w:t>
      </w:r>
      <w:r>
        <w:rPr/>
      </w:r>
      <w:r>
        <w:t xml:space="preserve">That the employer or insurance carrier may have pecuniary interest adverse to the employee;</w:t>
      </w:r>
    </w:p>
    <w:p>
      <w:pPr>
        <w:jc w:val="both"/>
        <w:spacing w:before="100" w:after="0"/>
        <w:ind w:start="1080"/>
      </w:pPr>
      <w:r>
        <w:rPr/>
        <w:t>(</w:t>
        <w:t>3</w:t>
        <w:t xml:space="preserve">)  </w:t>
      </w:r>
      <w:r>
        <w:rPr/>
      </w:r>
      <w:r>
        <w:t xml:space="preserve">That the employee may consult with counsel prior to making any statements;</w:t>
      </w:r>
    </w:p>
    <w:p>
      <w:pPr>
        <w:jc w:val="both"/>
        <w:spacing w:before="100" w:after="0"/>
        <w:ind w:start="1080"/>
      </w:pPr>
      <w:r>
        <w:rPr/>
        <w:t>(</w:t>
        <w:t>4</w:t>
        <w:t xml:space="preserve">)  </w:t>
      </w:r>
      <w:r>
        <w:rPr/>
      </w:r>
      <w:r>
        <w:t xml:space="preserve">That the employee may decline to make any statement; and</w:t>
      </w:r>
    </w:p>
    <w:p>
      <w:pPr>
        <w:jc w:val="both"/>
        <w:spacing w:before="100" w:after="0"/>
        <w:ind w:start="1080"/>
      </w:pPr>
      <w:r>
        <w:rPr/>
        <w:t>(</w:t>
        <w:t>5</w:t>
        <w:t xml:space="preserve">)  </w:t>
      </w:r>
      <w:r>
        <w:rPr/>
      </w:r>
      <w:r>
        <w:t xml:space="preserve">That the employer may not discriminate against the employee in any manner for refusing to make such a statement or exercising in any way the employee's rights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pursuant to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§139 (COR).]</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prior to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§139 (COR). </w:t>
      </w:r>
    </w:p>
    <w:p>
      <w:pPr>
        <w:jc w:val="both"/>
        <w:spacing w:before="100" w:after="100"/>
        <w:ind w:start="1080" w:hanging="720"/>
      </w:pPr>
      <w:r>
        <w:rPr>
          <w:b/>
        </w:rPr>
        <w:t>§</w:t>
        <w:t>311</w:t>
        <w:t xml:space="preserve">.  </w:t>
      </w:r>
      <w:r>
        <w:rPr>
          <w:b/>
        </w:rPr>
        <w:t xml:space="preserve">Inadmissible statements</w:t>
      </w:r>
    </w:p>
    <w:p>
      <w:pPr>
        <w:jc w:val="both"/>
        <w:spacing w:before="100" w:after="100"/>
        <w:ind w:start="360"/>
        <w:ind w:firstLine="360"/>
      </w:pPr>
      <w:r>
        <w:rPr/>
      </w:r>
      <w:r>
        <w:rPr/>
      </w:r>
      <w:r>
        <w:t xml:space="preserve">No statement of any kind made by the injured employee to any investigator, employer or employer's representative, whether oral or written, recorded or unrecorded, may be admitted into evidence or considered in any way in any proceeding under this Act if it was obtained by means of duress on the part of the investigator, employer or employer's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Duress defined.</w:t>
        <w:t xml:space="preserve"> </w:t>
      </w:r>
      <w:r>
        <w:t xml:space="preserve"> </w:t>
      </w:r>
      <w:r>
        <w:t xml:space="preserve">For the purpose of this section, "duress" is not limited to its common law definition, but includes:</w:t>
      </w:r>
    </w:p>
    <w:p>
      <w:pPr>
        <w:jc w:val="both"/>
        <w:spacing w:before="100" w:after="0"/>
        <w:ind w:start="720"/>
      </w:pPr>
      <w:r>
        <w:rPr/>
        <w:t>A</w:t>
        <w:t xml:space="preserve">.  </w:t>
      </w:r>
      <w:r>
        <w:rPr/>
      </w:r>
      <w:r>
        <w:t xml:space="preserve">Implied or expressed threats relating to the employment of the employee or the employment of a relative of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Implied or expressed threats of extensive litigation and appeals of the employee's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Misleading, false or incomplete statements of law or any misleading, false or incomplete legal opinion given to the employee relating to the employee's eligibility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Misleading, false or incomplete statements of fact knowingly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The taking of unfair advantage of an employee's physical, mental or economic problems or shortcomings;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Interrogations or investigations conducted under such circumstances as to be severely intimidating to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agreements for the payment of compensation made under this Act or to the admissibility of statements to show compliance with the notice requirements of </w:t>
      </w:r>
      <w:r>
        <w:t>sections 301</w:t>
      </w:r>
      <w:r>
        <w:t xml:space="preserve"> and </w:t>
      </w:r>
      <w:r>
        <w:t>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employees injured on or after June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317</w:t>
        <w:t xml:space="preserve">.  </w:t>
      </w:r>
      <w:r>
        <w:rPr>
          <w:b/>
        </w:rPr>
        <w:t xml:space="preserve">Appearance by authorized officer, employee or advocate</w:t>
      </w:r>
    </w:p>
    <w:p>
      <w:pPr>
        <w:jc w:val="both"/>
        <w:spacing w:before="100" w:after="100"/>
        <w:ind w:start="360"/>
        <w:ind w:firstLine="360"/>
      </w:pPr>
      <w:r>
        <w:rPr/>
      </w:r>
      <w:r>
        <w:rPr/>
      </w:r>
      <w:r>
        <w:t xml:space="preserve">The appearance before the board of an authorized officer, employee, advocate or representative of a party in any hearing, action or proceeding in which the party is participating or desires to participate is not an unauthorized practice of law and is not subject to any criminal sanction. If the appearance of such an officer, employee, advocate or representative prevents the efficient processing of any proceeding, the board, in its discretion, may remove that person from representation of the party.</w:t>
      </w:r>
      <w:r>
        <w:t xml:space="preserve">  </w:t>
      </w:r>
      <w:r xmlns:wp="http://schemas.openxmlformats.org/drawingml/2010/wordprocessingDrawing" xmlns:w15="http://schemas.microsoft.com/office/word/2012/wordml">
        <w:rPr>
          <w:rFonts w:ascii="Arial" w:hAnsi="Arial" w:cs="Arial"/>
          <w:sz w:val="22"/>
          <w:szCs w:val="22"/>
        </w:rPr>
        <w:t xml:space="preserve">[PL 1997, c. 486,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§6 (AMD). </w:t>
      </w:r>
    </w:p>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320</w:t>
        <w:t xml:space="preserve">.  </w:t>
      </w:r>
      <w:r>
        <w:rPr>
          <w:b/>
        </w:rPr>
        <w:t xml:space="preserve">Review by full board</w:t>
      </w:r>
    </w:p>
    <w:p>
      <w:pPr>
        <w:jc w:val="both"/>
        <w:spacing w:before="100" w:after="100"/>
        <w:ind w:start="360"/>
        <w:ind w:firstLine="360"/>
      </w:pPr>
      <w:r>
        <w:rPr/>
      </w:r>
      <w:r>
        <w:rPr/>
      </w:r>
      <w:r>
        <w:t xml:space="preserve">An administrative law judge may request that the full board review a decision of the  administrative law judge if the decision involves an issue that is of significance to the operation of the workers' compensation system.  Except when a motion is filed to find the facts specially and state separately the conclusions of law, the request must be made within 25 days of the issuance of a decision.  If a motion is filed to find the facts specially and state separately the conclusions of law, the request must be made within 5 days of the issuance of a decision on the motion.  There may be no such review of findings of fact made by an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If an administrative law judge asks for review, the time for appeal is stayed and no further action may be taken until a decision of the board has been made.  If the board reviews a decision of an administrative law judge, any appeal must be from the decision of the board and must be made to the Law Court in accordance with </w:t>
      </w:r>
      <w:r>
        <w:t>section 322</w:t>
      </w:r>
      <w:r>
        <w:t xml:space="preserve">.  The time for appeal begins upon the board's issuance of a written decision on the merits of the case or written notice that the board denies review.</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w:pPr>
        <w:jc w:val="both"/>
        <w:spacing w:before="100" w:after="100"/>
        <w:ind w:start="360"/>
        <w:ind w:firstLine="360"/>
      </w:pPr>
      <w:r>
        <w:rPr/>
      </w:r>
      <w:r>
        <w:rPr/>
      </w:r>
      <w:r>
        <w:t xml:space="preserve">The board shall vote on whether to review the decision.  If a majority of the board's membership fails to vote to grant review or the board fails to act within 60 days after receiving the initial request for review, the decision of the administrative law judge stands, and any appeal must be made to the division in accordance with </w:t>
      </w:r>
      <w:r>
        <w:t>section 321‑B</w:t>
      </w:r>
      <w:r>
        <w:t xml:space="preserve">.  If the board votes to review the decision, the board may delegate responsibility for reviewing the decision of the administrative law judge under this section to panels of board members consisting of equal numbers of representatives of labor and management.  Review must be on the record and on written briefs only.  Upon a vote of a majority of the board's membership, the board shall issue a written decision affirming, remanding, vacating or modifying the administrative law judge's decision. The written decision of the board must be filed with the board and mailed to the parties or their counsel.  If the board fails to adopt a decision by majority vote, the decision of the administrative law judge stands and is subject to direct appellate review in the same manner as if the board had not voted to review the decision.</w:t>
      </w:r>
      <w:r>
        <w:t xml:space="preserve">  </w:t>
      </w:r>
      <w:r xmlns:wp="http://schemas.openxmlformats.org/drawingml/2010/wordprocessingDrawing" xmlns:w15="http://schemas.microsoft.com/office/word/2012/wordml">
        <w:rPr>
          <w:rFonts w:ascii="Arial" w:hAnsi="Arial" w:cs="Arial"/>
          <w:sz w:val="22"/>
          <w:szCs w:val="22"/>
        </w:rPr>
        <w:t xml:space="preserve">[PL 2015, c. 297,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608, §13 (AMD). PL 2005, c. 25, §1 (AMD). PL 2011, c. 647, §19 (AMD). PL 2013, c. 63, §§11, 12 (AMD). PL 2013, c. 63, §16 (AFF). PL 2015, c. 297, §14 (AMD). </w:t>
      </w:r>
    </w:p>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321-A</w:t>
        <w:t xml:space="preserve">.  </w:t>
      </w:r>
      <w:r>
        <w:rPr>
          <w:b/>
        </w:rPr>
        <w:t xml:space="preserve">Appellate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within the board the Appellate Division, referred to in this subchapter as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w:pPr>
        <w:jc w:val="both"/>
        <w:spacing w:before="100" w:after="0"/>
        <w:ind w:start="360"/>
        <w:ind w:firstLine="360"/>
      </w:pPr>
      <w:r>
        <w:rPr>
          <w:b/>
        </w:rPr>
        <w:t>2</w:t>
        <w:t xml:space="preserve">.  </w:t>
      </w:r>
      <w:r>
        <w:rPr>
          <w:b/>
        </w:rPr>
        <w:t xml:space="preserve">Composition.</w:t>
        <w:t xml:space="preserve"> </w:t>
      </w:r>
      <w:r>
        <w:t xml:space="preserve"> </w:t>
      </w:r>
      <w:r>
        <w:t xml:space="preserve">The division is composed of full-time administrative law judges who are appointed by the executive director of the board to serve on panels to review decisions under </w:t>
      </w:r>
      <w:r>
        <w:t>section 318</w:t>
      </w:r>
      <w:r>
        <w:t xml:space="preserve">. The executive director of the board shall appoint no fewer than 3 full-time administrative law judges to serve as members of a panel.  An administrative law judge may not serve as a member of a panel that reviews a decision of that administrative law judge.  An administrative law judge may be a member of more than one panel at the discretion of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of procedure designed to provide a prompt and inexpensive review of a decision by an administrative law judge.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2015, c. 297, §15 (AMD). </w:t>
      </w:r>
    </w:p>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jc w:val="both"/>
        <w:spacing w:before="100" w:after="100"/>
        <w:ind w:start="1080" w:hanging="720"/>
      </w:pPr>
      <w:r>
        <w:rPr>
          <w:b/>
        </w:rPr>
        <w:t>§</w:t>
        <w:t>322</w:t>
        <w:t xml:space="preserve">.  </w:t>
      </w:r>
      <w:r>
        <w:rPr>
          <w:b/>
        </w:rPr>
        <w:t xml:space="preserve">Appeal from decision of appellate division or board</w:t>
      </w:r>
    </w:p>
    <w:p>
      <w:pPr>
        <w:jc w:val="both"/>
        <w:spacing w:before="100" w:after="0"/>
        <w:ind w:start="360"/>
        <w:ind w:firstLine="360"/>
      </w:pPr>
      <w:r>
        <w:rPr>
          <w:b/>
        </w:rPr>
        <w:t>1</w:t>
        <w:t xml:space="preserve">.  </w:t>
      </w:r>
      <w:r>
        <w:rPr>
          <w:b/>
        </w:rPr>
        <w:t xml:space="preserve">Appeals.</w:t>
        <w:t xml:space="preserve"> </w:t>
      </w:r>
      <w:r>
        <w:t xml:space="preserve"> </w:t>
      </w:r>
      <w:r>
        <w:t xml:space="preserve">Any party in interest may present a copy of the decision of the division or of the board, if the board has reviewed a decision pursuant to </w:t>
      </w:r>
      <w:r>
        <w:t>section 320</w:t>
      </w:r>
      <w:r>
        <w:t xml:space="preserve">, to the clerk of the Law Court within 20 days after receipt of notice of the filing of the decision by the division or the board.  Within 20 days after the copy is filed with the Law Court, the party seeking review by the Law Court shall file a petition seeking appellate review with the Law Court that sets forth a brief statement of the facts, the error or errors of law that are alleged to exist and the legal authority supporting the position of the appellant.  For purposes of an appeal from a decision issued pursuant to </w:t>
      </w:r>
      <w:r>
        <w:t>section 321‑B, subsection 3</w:t>
      </w:r>
      <w:r>
        <w:t xml:space="preserve">, only a decision of the division may be reviewed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§2 (AMD).]</w:t>
      </w:r>
    </w:p>
    <w:p>
      <w:pPr>
        <w:jc w:val="both"/>
        <w:spacing w:before="100" w:after="0"/>
        <w:ind w:start="360"/>
        <w:ind w:firstLine="360"/>
      </w:pPr>
      <w:r>
        <w:rPr>
          <w:b/>
        </w:rPr>
        <w:t>2</w:t>
        <w:t xml:space="preserve">.  </w:t>
      </w:r>
      <w:r>
        <w:rPr>
          <w:b/>
        </w:rPr>
        <w:t xml:space="preserve">Procedures.</w:t>
        <w:t xml:space="preserve"> </w:t>
      </w:r>
      <w:r>
        <w:t xml:space="preserve"> </w:t>
      </w:r>
      <w:r>
        <w:t xml:space="preserve">The Law Court shall establish and publish procedures for the review of petitions for appellate review of decisions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Discretionary appeal; action.</w:t>
        <w:t xml:space="preserve"> </w:t>
      </w:r>
      <w:r>
        <w:t xml:space="preserve"> </w:t>
      </w:r>
      <w:r>
        <w:t xml:space="preserve">Upon the approval of 3 or more members of a panel consisting of no fewer than 5 Justices of the Law Court, the petition for appellate review may be granted.  If the petition for appellate review is denied, the decision of the board is final. The petition must be considered on written briefs only.</w:t>
      </w:r>
    </w:p>
    <w:p>
      <w:pPr>
        <w:jc w:val="both"/>
        <w:spacing w:before="100" w:after="0"/>
        <w:ind w:start="360"/>
      </w:pPr>
      <w:r>
        <w:rPr/>
      </w:r>
      <w:r>
        <w:rPr/>
      </w:r>
      <w:r>
        <w:t xml:space="preserve">If the petition for appellate review is granted, the clerk of the Law Court shall notify the parties of the briefing schedule consistent with the Maine Rules of Civil Procedure and in all respects the appeal before the Law Court must be treated as an appeal in an action in which equitable relief has been sought, except that there may be no appeal upon findings of fact.  The Law Court may, after due consideration, reverse, modify or affirm any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§21 (AMD). PL 2015, c. 297, §17 (AMD). PL 2015, c. 469, §2 (AMD). </w:t>
      </w:r>
    </w:p>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jc w:val="both"/>
        <w:spacing w:before="100" w:after="100"/>
        <w:ind w:start="1080" w:hanging="720"/>
      </w:pPr>
      <w:r>
        <w:rPr>
          <w:b/>
        </w:rPr>
        <w:t>§</w:t>
        <w:t>325</w:t>
        <w:t xml:space="preserve">.  </w:t>
      </w:r>
      <w:r>
        <w:rPr>
          <w:b/>
        </w:rPr>
        <w:t xml:space="preserve">Costs; attorney's fees allowable</w:t>
      </w:r>
    </w:p>
    <w:p>
      <w:pPr>
        <w:jc w:val="both"/>
        <w:spacing w:before="100" w:after="0"/>
        <w:ind w:start="360"/>
        <w:ind w:firstLine="360"/>
      </w:pPr>
      <w:r>
        <w:rPr>
          <w:b/>
        </w:rPr>
        <w:t>1</w:t>
        <w:t xml:space="preserve">.  </w:t>
      </w:r>
      <w:r>
        <w:rPr>
          <w:b/>
        </w:rPr>
        <w:t xml:space="preserve">Costs and attorney's fees.</w:t>
        <w:t xml:space="preserve"> </w:t>
      </w:r>
      <w:r>
        <w:t xml:space="preserve"> </w:t>
      </w:r>
      <w:r>
        <w:t xml:space="preserve">Except as otherwise provided by law, by the Maine Rules of Civil Procedure or by rule of court, each party is responsible for the payment of the party's own costs and attorney's fees.  In the event of a disagreement as to those costs or fees, an interested party may apply to the board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Restriction on attorney's fees.</w:t>
        <w:t xml:space="preserve"> </w:t>
      </w:r>
      <w:r>
        <w:t xml:space="preserve"> </w:t>
      </w:r>
      <w:r>
        <w:t xml:space="preserve">An attorney representing an employee in a proceeding under this Act may receive a fee from that client for an activity pursuant to the Act only as provided in this section.  The fees and payment of fees to all attorneys for services provided to employees under this Act are subject to the approval of the board.  The board may approve the payment of attorney's fees by the employee for services provided to the employee pursuant to this Act.  Any attorney who violates this section must forfeit any fee in the case and is liable in a court suit to pay damages to the client equal to 2 times the fee charged to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adopt rules to prescribe maximum attorney's fees and the manner in which the amount is determined and paid by the employee.  The maximum attorney's fees prescribed by the board in a case tried to completion may not exceed 30% of the benefits accrued, after deducting reasonable expenses incurred on behalf of the employee, or be based on a weekly benefit amount after coordination that is higher than 2/3 of the state average weekly wage at the time of injury.  The board may by rule allow attorney's fees to be increased above or decreased below the amount specified in the rule when in the discretion of the board that action is determined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Attorney's fees for lump-sum settlements.</w:t>
        <w:t xml:space="preserve"> </w:t>
      </w:r>
      <w:r>
        <w:t xml:space="preserve"> </w:t>
      </w:r>
      <w:r>
        <w:t xml:space="preserve">Attorney's fees for lump-sum settlements pursuant to </w:t>
      </w:r>
      <w:r>
        <w:t>section 352</w:t>
      </w:r>
      <w:r>
        <w:t xml:space="preserve">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w:t>
      </w:r>
    </w:p>
    <w:p>
      <w:pPr>
        <w:jc w:val="both"/>
        <w:spacing w:before="100" w:after="0"/>
        <w:ind w:start="1080"/>
      </w:pPr>
      <w:r>
        <w:rPr/>
        <w:t>(</w:t>
        <w:t>1</w:t>
        <w:t xml:space="preserve">)  </w:t>
      </w:r>
      <w:r>
        <w:rPr/>
      </w:r>
      <w:r>
        <w:t xml:space="preserve">Ten percent of the first $50,000 of the  settlement;</w:t>
      </w:r>
    </w:p>
    <w:p>
      <w:pPr>
        <w:jc w:val="both"/>
        <w:spacing w:before="100" w:after="0"/>
        <w:ind w:start="1080"/>
      </w:pPr>
      <w:r>
        <w:rPr/>
        <w:t>(</w:t>
        <w:t>2</w:t>
        <w:t xml:space="preserve">)  </w:t>
      </w:r>
      <w:r>
        <w:rPr/>
      </w:r>
      <w:r>
        <w:t xml:space="preserve">Nine percent of the first $10,000 over $50,000 of the settlement;</w:t>
      </w:r>
    </w:p>
    <w:p>
      <w:pPr>
        <w:jc w:val="both"/>
        <w:spacing w:before="100" w:after="0"/>
        <w:ind w:start="1080"/>
      </w:pPr>
      <w:r>
        <w:rPr/>
        <w:t>(</w:t>
        <w:t>3</w:t>
        <w:t xml:space="preserve">)  </w:t>
      </w:r>
      <w:r>
        <w:rPr/>
      </w:r>
      <w:r>
        <w:t xml:space="preserve">Eight percent of the next $10,000 over $50,000 of the settlement;</w:t>
      </w:r>
    </w:p>
    <w:p>
      <w:pPr>
        <w:jc w:val="both"/>
        <w:spacing w:before="100" w:after="0"/>
        <w:ind w:start="1080"/>
      </w:pPr>
      <w:r>
        <w:rPr/>
        <w:t>(</w:t>
        <w:t>4</w:t>
        <w:t xml:space="preserve">)  </w:t>
      </w:r>
      <w:r>
        <w:rPr/>
      </w:r>
      <w:r>
        <w:t xml:space="preserve">Seven percent of the next $10,000 over $50,000 of the settlement;</w:t>
      </w:r>
    </w:p>
    <w:p>
      <w:pPr>
        <w:jc w:val="both"/>
        <w:spacing w:before="100" w:after="0"/>
        <w:ind w:start="1080"/>
      </w:pPr>
      <w:r>
        <w:rPr/>
        <w:t>(</w:t>
        <w:t>5</w:t>
        <w:t xml:space="preserve">)  </w:t>
      </w:r>
      <w:r>
        <w:rPr/>
      </w:r>
      <w:r>
        <w:t xml:space="preserve">Six percent of the next $10,000 over $50,000 of the settlement; and</w:t>
      </w:r>
    </w:p>
    <w:p>
      <w:pPr>
        <w:jc w:val="both"/>
        <w:spacing w:before="100" w:after="0"/>
        <w:ind w:start="1080"/>
      </w:pPr>
      <w:r>
        <w:rPr/>
        <w:t>(</w:t>
        <w:t>6</w:t>
        <w:t xml:space="preserve">)  </w:t>
      </w:r>
      <w:r>
        <w:rPr/>
      </w:r>
      <w:r>
        <w:t xml:space="preserve">Five percent of any amount over $90,000 of the settlement.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Attorney's fees in cases in which the injury occurred prior to January 1, 1993.</w:t>
        <w:t xml:space="preserve"> </w:t>
      </w:r>
      <w:r>
        <w:t xml:space="preserve"> </w:t>
      </w:r>
      <w:r>
        <w:t xml:space="preserve">In cases in which the injury to the employee occurred prior to January 1, 1993, the amount of the attorney's fees is determined by the law in effect at the date of the injury and is payable by the employer.  If the employee attended a mediation pursuant to </w:t>
      </w:r>
      <w:r>
        <w:t>section 313</w:t>
      </w:r>
      <w:r>
        <w:t xml:space="preserve"> after January 1, 1993 and was represented by an attorney, the attorney's fees may include compensation from the date of the mediation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Attorney's fees for lump-sum settlement in cases in which the injury occurred on or after January 1, 2020.</w:t>
        <w:t xml:space="preserve"> </w:t>
      </w:r>
      <w:r>
        <w:t xml:space="preserve"> </w:t>
      </w:r>
      <w:r>
        <w:t xml:space="preserve">In cases in which the injury to the employee occurred on or after January 1, 2020, attorney's fees for lump-sum settlements must be determined as follows.</w:t>
      </w:r>
    </w:p>
    <w:p>
      <w:pPr>
        <w:jc w:val="both"/>
        <w:spacing w:before="100" w:after="0"/>
        <w:ind w:start="720"/>
      </w:pPr>
      <w:r>
        <w:rPr/>
        <w:t>A</w:t>
        <w:t xml:space="preserve">.  </w:t>
      </w:r>
      <w:r>
        <w:rPr/>
      </w:r>
      <w:r>
        <w:t xml:space="preserve">Before computing the fee, reasonable expenses incurred on the employee's behalf must be deducted from the total settlement, including:</w:t>
      </w:r>
    </w:p>
    <w:p>
      <w:pPr>
        <w:jc w:val="both"/>
        <w:spacing w:before="100" w:after="0"/>
        <w:ind w:start="1080"/>
      </w:pPr>
      <w:r>
        <w:rPr/>
        <w:t>(</w:t>
        <w:t>1</w:t>
        <w:t xml:space="preserve">)  </w:t>
      </w:r>
      <w:r>
        <w:rPr/>
      </w:r>
      <w:r>
        <w:t xml:space="preserve">Medical examination fee and witness fee;</w:t>
      </w:r>
    </w:p>
    <w:p>
      <w:pPr>
        <w:jc w:val="both"/>
        <w:spacing w:before="100" w:after="0"/>
        <w:ind w:start="1080"/>
      </w:pPr>
      <w:r>
        <w:rPr/>
        <w:t>(</w:t>
        <w:t>2</w:t>
        <w:t xml:space="preserve">)  </w:t>
      </w:r>
      <w:r>
        <w:rPr/>
      </w:r>
      <w:r>
        <w:t xml:space="preserve">Any other medical witness fee, including cost of subpoena;</w:t>
      </w:r>
    </w:p>
    <w:p>
      <w:pPr>
        <w:jc w:val="both"/>
        <w:spacing w:before="100" w:after="0"/>
        <w:ind w:start="1080"/>
      </w:pPr>
      <w:r>
        <w:rPr/>
        <w:t>(</w:t>
        <w:t>3</w:t>
        <w:t xml:space="preserve">)  </w:t>
      </w:r>
      <w:r>
        <w:rPr/>
      </w:r>
      <w:r>
        <w:t xml:space="preserve">Cost of court reporter service; and</w:t>
      </w:r>
    </w:p>
    <w:p>
      <w:pPr>
        <w:jc w:val="both"/>
        <w:spacing w:before="100" w:after="0"/>
        <w:ind w:start="1080"/>
      </w:pPr>
      <w:r>
        <w:rPr/>
        <w:t>(</w:t>
        <w:t>4</w:t>
        <w:t xml:space="preserve">)  </w:t>
      </w:r>
      <w:r>
        <w:rPr/>
      </w:r>
      <w:r>
        <w:t xml:space="preserve">Appeal costs.</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B</w:t>
        <w:t xml:space="preserve">.  </w:t>
      </w:r>
      <w:r>
        <w:rPr/>
      </w:r>
      <w:r>
        <w:t xml:space="preserve">The computation of the fee, based on the amount resulting after deductions according to </w:t>
      </w:r>
      <w:r>
        <w:t>paragraph A</w:t>
      </w:r>
      <w:r>
        <w:t xml:space="preserve">, may not exceed 10%.</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w:pPr>
        <w:jc w:val="both"/>
        <w:spacing w:before="100" w:after="0"/>
        <w:ind w:start="720"/>
      </w:pPr>
      <w:r>
        <w:rPr/>
        <w:t>C</w:t>
        <w:t xml:space="preserve">.  </w:t>
      </w:r>
      <w:r>
        <w:rPr/>
      </w:r>
      <w:r>
        <w:t xml:space="preserve">If a lump‑sum settlement includes any amount that is allocated for past due benefits, the administrative law judge shall review the allocation to make sure that it is not for an amount that is greater than what the employee is claiming.</w:t>
      </w:r>
      <w:r>
        <w:t xml:space="preserve">  </w:t>
      </w:r>
      <w:r xmlns:wp="http://schemas.openxmlformats.org/drawingml/2010/wordprocessingDrawing" xmlns:w15="http://schemas.microsoft.com/office/word/2012/wordml">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2019, c. 344, §14 (AMD). </w:t>
      </w:r>
    </w:p>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w:t>
        <w:t xml:space="preserve">.  </w:t>
      </w:r>
      <w:r>
        <w:rPr>
          <w:b/>
        </w:rPr>
        <w:t xml:space="preserve">Cardiovascular injury or disease and pulmonary disease suffered by a firefighter or resulting in a firefighter's death</w:t>
      </w:r>
    </w:p>
    <w:p>
      <w:pPr>
        <w:jc w:val="both"/>
        <w:spacing w:before="100" w:after="100"/>
        <w:ind w:start="360"/>
        <w:ind w:firstLine="360"/>
      </w:pPr>
      <w:r>
        <w:rPr/>
      </w:r>
      <w:r>
        <w:rPr/>
      </w:r>
      <w:r>
        <w:t xml:space="preserve">Cardiovascular injury or disease and pulmonary disease suffered by a firefighter or resulting in a firefighter's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Firefighter defined.</w:t>
        <w:t xml:space="preserve"> </w:t>
      </w:r>
      <w:r>
        <w:t xml:space="preserve"> </w:t>
      </w:r>
      <w:r>
        <w:t xml:space="preserve">For the purposes of this section, "firefighter" means an active member of a municipal fire department or of a volunteer firefighters association if that person is a member of a municipal fire department or volunteer firefighters association and if that person aids in the extinguishment of fires, regardless of whether or not that person has administrative duties or other duties as a member of the municipal fire department or volunteer firefighters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firefighter received the injury or contracted the disease arising out of and in the course of employment, that sufficient notice of the injury or disease has been given and that the injury or disease was not occasioned by the willful intention of the firefighter to cause self-injury or injury to another if the firefighter has been an active member of a municipal fire department or a volunteer firefighters association, as defined in </w:t>
      </w:r>
      <w:r>
        <w:t>Title 30‑A, section 3151</w:t>
      </w:r>
      <w:r>
        <w:t xml:space="preserve">, for at least 2 years prior to a cardiovascular injury or the onset of a cardiovascular disease or pulmonary disease and if:</w:t>
      </w:r>
    </w:p>
    <w:p>
      <w:pPr>
        <w:jc w:val="both"/>
        <w:spacing w:before="100" w:after="0"/>
        <w:ind w:start="720"/>
      </w:pPr>
      <w:r>
        <w:rPr/>
        <w:t>A</w:t>
        <w:t xml:space="preserve">.  </w:t>
      </w:r>
      <w:r>
        <w:rPr/>
      </w:r>
      <w:r>
        <w:t xml:space="preserve">The disease has developed or the injury has occurred within 6 months of having participated in fire fighting, or training or drill that actually involves fire fighting;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firefighter had developed the disease or had suffered the injury that resulted in death within 6 months of having participated in fire fighting, or training or drill that actually involved fire fighting.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328-A</w:t>
        <w:t xml:space="preserve">.  </w:t>
      </w:r>
      <w:r>
        <w:rPr>
          <w:b/>
        </w:rPr>
        <w:t xml:space="preserve">Communicable disease contracted by emergency rescue or public safety worker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"Body fluids" means blood and body fluids containing visible blood and other potentially infectious materials, as defined in a regulation of the Occupational Safety and Health Administration, 29 Code of Federal Regulations, 1910.1030 (2001).  For purposes of potential transmission of meningococcal meningitis or tuberculosis, "body fluids" includes respiratory, salivary and sinus fluids, including droplets, sputum and saliva, mucus and other fluids through which infectious airborne organisms can be transmitted between persons.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"Corrections officer" has the same meaning as in </w:t>
      </w:r>
      <w:r>
        <w:t>Title 25, section 2801‑A,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"Emergency medical services person" means a person licensed as an emergency medical services person under </w:t>
      </w:r>
      <w:r>
        <w:t>Title 32, chapter 2‑B</w:t>
      </w:r>
      <w:r>
        <w:t xml:space="preserve"> who is employed by, or provides voluntary service to, an ambulance service as defined in </w:t>
      </w:r>
      <w:r>
        <w:t>Title 32, section 83</w:t>
      </w:r>
      <w:r>
        <w:t xml:space="preserve"> or a nontransporting emergency medical service as defined in </w:t>
      </w:r>
      <w:r>
        <w:t>Title 32, section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D</w:t>
        <w:t xml:space="preserve">.  </w:t>
      </w:r>
      <w:r>
        <w:rPr/>
      </w:r>
      <w:r>
        <w:t xml:space="preserve">"Emergency rescue or public safety worker" means a person who:</w:t>
      </w:r>
    </w:p>
    <w:p>
      <w:pPr>
        <w:jc w:val="both"/>
        <w:spacing w:before="100" w:after="0"/>
        <w:ind w:start="1080"/>
      </w:pPr>
      <w:r>
        <w:rPr/>
        <w:t>(</w:t>
        <w:t>1</w:t>
        <w:t xml:space="preserve">)  </w:t>
      </w:r>
      <w:r>
        <w:rPr/>
      </w:r>
      <w:r>
        <w:t xml:space="preserve">Is a firefighter, emergency medical services person, law enforcement officer or corrections officer; and</w:t>
      </w:r>
    </w:p>
    <w:p>
      <w:pPr>
        <w:jc w:val="both"/>
        <w:spacing w:before="100" w:after="0"/>
        <w:ind w:start="1080"/>
      </w:pPr>
      <w:r>
        <w:rPr/>
        <w:t>(</w:t>
        <w:t>2</w:t>
        <w:t xml:space="preserve">)  </w:t>
      </w:r>
      <w:r>
        <w:rPr/>
      </w:r>
      <w:r>
        <w:t xml:space="preserve">In the course of employment, runs a high risk of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E</w:t>
        <w:t xml:space="preserve">.  </w:t>
      </w:r>
      <w:r>
        <w:rPr/>
      </w:r>
      <w:r>
        <w:t xml:space="preserve">"Employer" includes an entity for which a person provides volunteer services.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F</w:t>
        <w:t xml:space="preserve">.  </w:t>
      </w:r>
      <w:r>
        <w:rPr/>
      </w:r>
      <w:r>
        <w:t xml:space="preserve">"Firefighter" means an active member of a municipal fire department or a volunteer fire association as defined in </w:t>
      </w:r>
      <w:r>
        <w:t>Title 30‑A, section 3151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G</w:t>
        <w:t xml:space="preserve">.  </w:t>
      </w:r>
      <w:r>
        <w:rPr/>
      </w:r>
      <w:r>
        <w:t xml:space="preserve">"Hepatitis" means hepatitis A, hepatitis B, hepatitis C or any other strain of hepatitis generally recognized by the medical community.</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H</w:t>
        <w:t xml:space="preserve">.  </w:t>
      </w:r>
      <w:r>
        <w:rPr/>
      </w:r>
      <w:r>
        <w:t xml:space="preserve">"High risk of occupational exposure" means a risk that is incurred because a person subject to the provisions of this section, in performing the basic duties associated with that person's employment:</w:t>
      </w:r>
    </w:p>
    <w:p>
      <w:pPr>
        <w:jc w:val="both"/>
        <w:spacing w:before="100" w:after="0"/>
        <w:ind w:start="1080"/>
      </w:pPr>
      <w:r>
        <w:rPr/>
        <w:t>(</w:t>
        <w:t>1</w:t>
        <w:t xml:space="preserve">)  </w:t>
      </w:r>
      <w:r>
        <w:rPr/>
      </w:r>
      <w:r>
        <w:t xml:space="preserve">Provides emergency medical treatment in a nonhealth-care setting where there is a potential for the transfer of body fluids between persons;</w:t>
      </w:r>
    </w:p>
    <w:p>
      <w:pPr>
        <w:jc w:val="both"/>
        <w:spacing w:before="100" w:after="0"/>
        <w:ind w:start="1080"/>
      </w:pPr>
      <w:r>
        <w:rPr/>
        <w:t>(</w:t>
        <w:t>2</w:t>
        <w:t xml:space="preserve">)  </w:t>
      </w:r>
      <w:r>
        <w:rPr/>
      </w:r>
      <w:r>
        <w:t xml:space="preserve">At the site of an accident, fire or other rescue or public safety operation, or in an emergency rescue or public safety vehicle, handles body fluids in or out of containers or works with or otherwise handles needles or other sharp instruments exposed to body fluids;</w:t>
      </w:r>
    </w:p>
    <w:p>
      <w:pPr>
        <w:jc w:val="both"/>
        <w:spacing w:before="100" w:after="0"/>
        <w:ind w:start="1080"/>
      </w:pPr>
      <w:r>
        <w:rPr/>
        <w:t>(</w:t>
        <w:t>3</w:t>
        <w:t xml:space="preserve">)  </w:t>
      </w:r>
      <w:r>
        <w:rPr/>
      </w:r>
      <w:r>
        <w:t xml:space="preserve">Engages in the pursuit, apprehension and arrest of persons suspected of violating the law and, in performing such duties, risks exposure to body fluids; or</w:t>
      </w:r>
    </w:p>
    <w:p>
      <w:pPr>
        <w:jc w:val="both"/>
        <w:spacing w:before="100" w:after="0"/>
        <w:ind w:start="1080"/>
      </w:pPr>
      <w:r>
        <w:rPr/>
        <w:t>(</w:t>
        <w:t>4</w:t>
        <w:t xml:space="preserve">)  </w:t>
      </w:r>
      <w:r>
        <w:rPr/>
      </w:r>
      <w:r>
        <w:t xml:space="preserve">Is responsible for the custody and physical restraint, when necessary, of prisoners or inmates within a prison, jail or other criminal detention facility or while on work detail outside the facility or while being transported and, in performing such a duty, risks exposure to body fluids.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I</w:t>
        <w:t xml:space="preserve">.  </w:t>
      </w:r>
      <w:r>
        <w:rPr/>
      </w:r>
      <w:r>
        <w:t xml:space="preserve">"Law enforcement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J</w:t>
        <w:t xml:space="preserve">.  </w:t>
      </w:r>
      <w:r>
        <w:rPr/>
      </w:r>
      <w:r>
        <w:t xml:space="preserve">"Occupational exposure," in the case of hepatitis, meningococcal meningitis or tuberculosis, means an exposure that occurs during the performance of job duties that may place a worker at risk of infection.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2</w:t>
        <w:t xml:space="preserve">.  </w:t>
      </w:r>
      <w:r>
        <w:rPr>
          <w:b/>
        </w:rPr>
        <w:t xml:space="preserve">Presumption.</w:t>
        <w:t xml:space="preserve"> </w:t>
      </w:r>
      <w:r>
        <w:t xml:space="preserve"> </w:t>
      </w:r>
      <w:r>
        <w:t xml:space="preserve">There is a rebuttable presumption that an emergency rescue or public safety worker who contracts hepatitis, meningococcal meningitis or tuberculosis has a disease arising out of and in the course of employment, that sufficient notice of the disease has been given and that the disease was not occasioned by the willful intention of the emergency rescue or public safety worker to cause self-injury or injury to another if the emergency rescue or public safety worker complies with the requirements of </w:t>
      </w:r>
      <w:r>
        <w:t>subsections 3</w:t>
      </w:r>
      <w:r>
        <w:t xml:space="preserve"> to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3</w:t>
        <w:t xml:space="preserve">.  </w:t>
      </w:r>
      <w:r>
        <w:rPr>
          <w:b/>
        </w:rPr>
        <w:t xml:space="preserve">Written verification.</w:t>
        <w:t xml:space="preserve"> </w:t>
      </w:r>
      <w:r>
        <w:t xml:space="preserve"> </w:t>
      </w:r>
      <w:r>
        <w:t xml:space="preserve">In order to qualify for the presumption set forth in </w:t>
      </w:r>
      <w:r>
        <w:t>subsection 2</w:t>
      </w:r>
      <w:r>
        <w:t xml:space="preserve">, an emergency rescue or public safety worker must sign a written affidavit declaring that, to the best of the person's knowledge and belief:</w:t>
      </w:r>
    </w:p>
    <w:p>
      <w:pPr>
        <w:jc w:val="both"/>
        <w:spacing w:before="100" w:after="0"/>
        <w:ind w:start="720"/>
      </w:pPr>
      <w:r>
        <w:rPr/>
        <w:t>A</w:t>
        <w:t xml:space="preserve">.  </w:t>
      </w:r>
      <w:r>
        <w:rPr/>
      </w:r>
      <w:r>
        <w:t xml:space="preserve">In the case of a medical condition caused by hepatitis, the person has not:</w:t>
      </w:r>
    </w:p>
    <w:p>
      <w:pPr>
        <w:jc w:val="both"/>
        <w:spacing w:before="100" w:after="0"/>
        <w:ind w:start="1080"/>
      </w:pPr>
      <w:r>
        <w:rPr/>
        <w:t>(</w:t>
        <w:t>1</w:t>
        <w:t xml:space="preserve">)  </w:t>
      </w:r>
      <w:r>
        <w:rPr/>
      </w:r>
      <w:r>
        <w:t xml:space="preserve">Been exposed, through transfer of body fluids, to any person known to have sickness or medical conditions derived from hepatitis outside the scope of the person's employment as an emergency rescue or public safety worker;</w:t>
      </w:r>
    </w:p>
    <w:p>
      <w:pPr>
        <w:jc w:val="both"/>
        <w:spacing w:before="100" w:after="0"/>
        <w:ind w:start="1080"/>
      </w:pPr>
      <w:r>
        <w:rPr/>
        <w:t>(</w:t>
        <w:t>2</w:t>
        <w:t xml:space="preserve">)  </w:t>
      </w:r>
      <w:r>
        <w:rPr/>
      </w:r>
      <w:r>
        <w:t xml:space="preserve">Had a transfusion of blood or blood components, other than a transfusion arising out of an accident or injury happening in connection with the person's employment as an emergency rescue or public safety worker, or received any blood products for the treatment of a coagulation disorder;</w:t>
      </w:r>
    </w:p>
    <w:p>
      <w:pPr>
        <w:jc w:val="both"/>
        <w:spacing w:before="100" w:after="0"/>
        <w:ind w:start="1080"/>
      </w:pPr>
      <w:r>
        <w:rPr/>
        <w:t>(</w:t>
        <w:t>3</w:t>
        <w:t xml:space="preserve">)  </w:t>
      </w:r>
      <w:r>
        <w:rPr/>
      </w:r>
      <w:r>
        <w:t xml:space="preserve">Engaged in unsafe sexual practices or other high-risk behavior, as identified by the Centers for Disease Control and Prevention or the Surgeon General of the United States, or had sexual relations with a person known by the emergency rescue or public safety worker to have engaged in such unsafe sexual practices or other high-risk behavior; or</w:t>
      </w:r>
    </w:p>
    <w:p>
      <w:pPr>
        <w:jc w:val="both"/>
        <w:spacing w:before="100" w:after="0"/>
        <w:ind w:start="1080"/>
      </w:pPr>
      <w:r>
        <w:rPr/>
        <w:t>(</w:t>
        <w:t>4</w:t>
        <w:t xml:space="preserve">)  </w:t>
      </w:r>
      <w:r>
        <w:rPr/>
      </w:r>
      <w:r>
        <w:t xml:space="preserve">Used intravenous drugs not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In the case of meningococcal meningitis, in the 10 days immediately preceding diagnosis the person was not exposed outside the scope of the person's employment as an emergency rescue or public safety worker to any person known to have meningococcal meningitis or known to be an asymptomatic carrier of the disease.</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C</w:t>
        <w:t xml:space="preserve">.  </w:t>
      </w:r>
      <w:r>
        <w:rPr/>
      </w:r>
      <w:r>
        <w:t xml:space="preserve">In the case of tuberculosis, the person has not been exposed, outside the scope of the person's employment as an emergency rescue or public safety worker, to any person known by the emergency rescue or public safety worker to have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360"/>
      </w:pPr>
      <w:r>
        <w:rPr/>
      </w:r>
      <w:r>
        <w:rPr/>
      </w:r>
      <w:r>
        <w:t xml:space="preserve">A person who has tested negative for hepatitis or tuberculosis at the time of employment or during employment as an emergency rescue or public safety worker may satisfy the affidavit requirement in </w:t>
      </w:r>
      <w:r>
        <w:t>paragraph A, subparagraph (2)</w:t>
      </w:r>
      <w:r>
        <w:t xml:space="preserve"> or </w:t>
      </w:r>
      <w:r>
        <w:t>paragraph C</w:t>
      </w:r>
      <w:r>
        <w:t xml:space="preserve"> by making the required declaration with respect to the period of time since the person's last negative test for hepatitis or tuberculosis,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4</w:t>
        <w:t xml:space="preserve">.  </w:t>
      </w:r>
      <w:r>
        <w:rPr>
          <w:b/>
        </w:rPr>
        <w:t xml:space="preserve">Required medical tests; preemployment physical.</w:t>
        <w:t xml:space="preserve"> </w:t>
      </w:r>
      <w:r>
        <w:t xml:space="preserve"> </w:t>
      </w:r>
      <w:r>
        <w:t xml:space="preserve">In order to be entitled to the presumption set forth in </w:t>
      </w:r>
      <w:r>
        <w:t>subsection 2</w:t>
      </w:r>
      <w:r>
        <w:t xml:space="preserve">:</w:t>
      </w:r>
    </w:p>
    <w:p>
      <w:pPr>
        <w:jc w:val="both"/>
        <w:spacing w:before="100" w:after="0"/>
        <w:ind w:start="720"/>
      </w:pPr>
      <w:r>
        <w:rPr/>
        <w:t>A</w:t>
        <w:t xml:space="preserve">.  </w:t>
      </w:r>
      <w:r>
        <w:rPr/>
      </w:r>
      <w:r>
        <w:t xml:space="preserve">An emergency rescue or public safety worker, at the time of or during employment as an emergency rescue or public safety worker and prior to diagnosis, must have undergone standard, medically acceptable tests for evidence of the disease for which the presumption is sought or evidence of the medical conditions derived from the disease, which tests failed to indicate the presence of infection.  This paragraph does not apply in the case of meningococcal meningitis and does not apply to an emergency rescue or public safety worker employed or serving in that capacity on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On or after the effective date of this section, the emergency rescue or public safety worker has undergone a preemployment physical examination that tested for and failed to reveal any evidence of hepatitis or tuberculosis if the person's employer requires such preemployment physical examination and tests.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5</w:t>
        <w:t xml:space="preserve">.  </w:t>
      </w:r>
      <w:r>
        <w:rPr>
          <w:b/>
        </w:rPr>
        <w:t xml:space="preserve">Immunization.</w:t>
        <w:t xml:space="preserve"> </w:t>
      </w:r>
      <w:r>
        <w:t xml:space="preserve"> </w:t>
      </w:r>
      <w:r>
        <w:t xml:space="preserve">Whenever any standard, medically recognized vaccine or other form of immunization or other prophylaxis exists for the prevention of a communicable disease for which a presumption is granted under this section, if medically indicated in the given circumstances pursuant to immunization policies established by the Advisory Committee on Immunization Practices for the Centers for Disease Control and Prevention, an emergency rescue or public safety worker may be required by the worker's employer to undergo the immunization or other prophylaxis unless the worker's physician determines in writing that the immunization or other prophylaxis would pose a significant risk to the worker's health.  Absent such written declaration, failure or refusal by an emergency rescue or public safety worker to undergo such immunization or other prophylaxis disqualifies the worker from the benefits of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100"/>
        <w:ind w:start="360"/>
        <w:ind w:firstLine="360"/>
      </w:pPr>
      <w:r>
        <w:rPr>
          <w:b/>
        </w:rPr>
        <w:t>6</w:t>
        <w:t xml:space="preserve">.  </w:t>
      </w:r>
      <w:r>
        <w:rPr>
          <w:b/>
        </w:rPr>
        <w:t xml:space="preserve">Record of exposures.</w:t>
        <w:t xml:space="preserve"> </w:t>
      </w:r>
      <w:r>
        <w:t xml:space="preserve"> </w:t>
      </w:r>
      <w:r>
        <w:t xml:space="preserve">To the extent required by any state or federal law or regulation:</w:t>
      </w:r>
    </w:p>
    <w:p>
      <w:pPr>
        <w:jc w:val="both"/>
        <w:spacing w:before="100" w:after="0"/>
        <w:ind w:start="720"/>
      </w:pPr>
      <w:r>
        <w:rPr/>
        <w:t>A</w:t>
        <w:t xml:space="preserve">.  </w:t>
      </w:r>
      <w:r>
        <w:rPr/>
      </w:r>
      <w:r>
        <w:t xml:space="preserve">An employer shall maintain a record of any known or reasonably suspected exposure of an emergency rescue or public safety worker in its employ to the diseases described in this section and shall immediately notify the employee of that exposure; and</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w:pPr>
        <w:jc w:val="both"/>
        <w:spacing w:before="100" w:after="0"/>
        <w:ind w:start="720"/>
      </w:pPr>
      <w:r>
        <w:rPr/>
        <w:t>B</w:t>
        <w:t xml:space="preserve">.  </w:t>
      </w:r>
      <w:r>
        <w:rPr/>
      </w:r>
      <w:r>
        <w:t xml:space="preserve">An emergency rescue or public safety worker shall file an incident or accident report with the worker's employer of each instance of known or suspected occupational exposure to hepatitis, meningococcal meningitis or tuberculosis.</w:t>
      </w:r>
      <w:r>
        <w:t xml:space="preserve">  </w:t>
      </w:r>
      <w:r xmlns:wp="http://schemas.openxmlformats.org/drawingml/2010/wordprocessingDrawing" xmlns:w15="http://schemas.microsoft.com/office/word/2012/wordml">
        <w:rPr>
          <w:rFonts w:ascii="Arial" w:hAnsi="Arial" w:cs="Arial"/>
          <w:sz w:val="22"/>
          <w:szCs w:val="22"/>
        </w:rPr>
        <w:t xml:space="preserve">[PL 2001, c. 663,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7</w:t>
        <w:t xml:space="preserve">.  </w:t>
      </w:r>
      <w:r>
        <w:rPr>
          <w:b/>
        </w:rPr>
        <w:t xml:space="preserve">Liability if services performed for more than one employer.</w:t>
        <w:t xml:space="preserve"> </w:t>
      </w:r>
      <w:r>
        <w:t xml:space="preserve"> </w:t>
      </w:r>
      <w:r>
        <w:t xml:space="preserve">If an emergency rescue or public safety worker was employed by more than one employer, the employer in whose employ the person was last injuriously exposed to the risk of the disease contracted and the insurer on the risk at the time of that last exposure, if any, are the only entities liable for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8</w:t>
        <w:t xml:space="preserve">.  </w:t>
      </w:r>
      <w:r>
        <w:rPr>
          <w:b/>
        </w:rPr>
        <w:t xml:space="preserve">Effect of presumption on life and disability insurance coverage.</w:t>
        <w:t xml:space="preserve"> </w:t>
      </w:r>
      <w:r>
        <w:t xml:space="preserve"> </w:t>
      </w:r>
      <w:r>
        <w:t xml:space="preserve">The presumption set forth in </w:t>
      </w:r>
      <w:r>
        <w:t>subsection 2</w:t>
      </w:r>
      <w:r>
        <w:t xml:space="preserve"> does not apply in determining eligibility for life or disability benefits unless otherwise provided in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w:t>
      </w:r>
    </w:p>
    <w:p>
      <w:pPr>
        <w:jc w:val="both"/>
        <w:spacing w:before="100" w:after="0"/>
        <w:ind w:start="360"/>
        <w:ind w:firstLine="360"/>
      </w:pPr>
      <w:r>
        <w:rPr>
          <w:b/>
        </w:rPr>
        <w:t>9</w:t>
        <w:t xml:space="preserve">.  </w:t>
      </w:r>
      <w:r>
        <w:rPr>
          <w:b/>
        </w:rPr>
        <w:t xml:space="preserve">Effect of presumption on disability retirement.</w:t>
        <w:t xml:space="preserve"> </w:t>
      </w:r>
      <w:r>
        <w:t xml:space="preserve"> </w:t>
      </w:r>
      <w:r>
        <w:t xml:space="preserve">The presumption set forth in </w:t>
      </w:r>
      <w:r>
        <w:t>subsection 2</w:t>
      </w:r>
      <w:r>
        <w:t xml:space="preserve"> is effective for purposes of determining whether a disability is work-related for purposes of determining eligibility for disability retirement in the Maine Public Employees Retirement System.  This presumption does not affect any eligibility requirement other than the requirement that the disability be work-related.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663, §1 (NEW). PL 2007, c. 58, §3 (REV). </w:t>
      </w:r>
    </w:p>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jc w:val="center"/>
        <w:ind w:start="360"/>
        <w:spacing w:before="300" w:after="300"/>
      </w:pPr>
      <w:r>
        <w:rPr>
          <w:b/>
        </w:rPr>
        <w:t>SUBCHAPTER</w:t>
        <w:t xml:space="preserve"> </w:t>
        <w:t>2</w:t>
      </w:r>
    </w:p>
    <w:p>
      <w:pPr>
        <w:jc w:val="center"/>
        <w:ind w:start="360"/>
        <w:spacing w:before="300" w:after="300"/>
      </w:pPr>
      <w:r>
        <w:rPr>
          <w:b/>
        </w:rPr>
        <w:t xml:space="preserve">MISCELLANEOUS</w:t>
      </w:r>
    </w:p>
    <w:p>
      <w:pPr>
        <w:jc w:val="both"/>
        <w:spacing w:before="100" w:after="100"/>
        <w:ind w:start="1080" w:hanging="720"/>
      </w:pPr>
      <w:r>
        <w:rPr>
          <w:b/>
        </w:rPr>
        <w:t>§</w:t>
        <w:t>351</w:t>
        <w:t xml:space="preserve">.  </w:t>
      </w:r>
      <w:r>
        <w:rPr>
          <w:b/>
        </w:rPr>
        <w:t xml:space="preserve">Nonresidents</w:t>
      </w:r>
    </w:p>
    <w:p>
      <w:pPr>
        <w:jc w:val="both"/>
        <w:spacing w:before="100" w:after="100"/>
        <w:ind w:start="360"/>
        <w:ind w:firstLine="360"/>
      </w:pPr>
      <w:r>
        <w:rPr/>
      </w:r>
      <w:r>
        <w:rPr/>
      </w:r>
      <w:r>
        <w:t xml:space="preserve">If an employee receiving weekly payments under this Act ceases to reside in the State or if the employee's residence at the time of the injury is in another state, the board upon application of either party may, in its discretion, having regard to the welfare of the employee and the convenience of the employer, authorize payments to be made monthly or quarterly instead of weekly.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jc w:val="both"/>
        <w:spacing w:before="100" w:after="100"/>
        <w:ind w:start="1080" w:hanging="720"/>
      </w:pPr>
      <w:r>
        <w:rPr>
          <w:b/>
        </w:rPr>
        <w:t>§</w:t>
        <w:t>354</w:t>
        <w:t xml:space="preserve">.  </w:t>
      </w:r>
      <w:r>
        <w:rPr>
          <w:b/>
        </w:rPr>
        <w:t xml:space="preserve">Multiple injuries; apportionment of liability</w:t>
      </w:r>
    </w:p>
    <w:p>
      <w:pPr>
        <w:jc w:val="both"/>
        <w:spacing w:before="100" w:after="0"/>
        <w:ind w:start="360"/>
        <w:ind w:firstLine="360"/>
      </w:pPr>
      <w:r>
        <w:rPr>
          <w:b/>
        </w:rPr>
        <w:t>1</w:t>
        <w:t xml:space="preserve">.  </w:t>
      </w:r>
      <w:r>
        <w:rPr>
          <w:b/>
        </w:rPr>
        <w:t xml:space="preserve">Applicability.</w:t>
        <w:t xml:space="preserve"> </w:t>
      </w:r>
      <w:r>
        <w:t xml:space="preserve"> </w:t>
      </w:r>
      <w:r>
        <w:t xml:space="preserve">When 2 or more occupational injuries occur, during either a single employment or successive employments, that combine to produce a single incapacitating condition and more than one insurer is responsible for that condition, liability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Liability to employee.</w:t>
        <w:t xml:space="preserve"> </w:t>
      </w:r>
      <w:r>
        <w:t xml:space="preserve"> </w:t>
      </w:r>
      <w:r>
        <w:t xml:space="preserve">If an employee has sustained more than one injury while employed by different employers, or if an employee has sustained more than one injury while employed by the same employer and that employer was insured by one insurer when the first injury occurred and insured by another insurer when the subsequent injury or injuries occurred, the insurer providing coverage at the time of the last injury shall initially be responsible to the employee for all benefits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Subrogation.</w:t>
        <w:t xml:space="preserve"> </w:t>
      </w:r>
      <w:r>
        <w:t xml:space="preserve"> </w:t>
      </w:r>
      <w:r>
        <w:t xml:space="preserve">Any insurer determined to be liable for benefits under </w:t>
      </w:r>
      <w:r>
        <w:t>subsection 2</w:t>
      </w:r>
      <w:r>
        <w:t xml:space="preserve"> must be subrogated to the employee's rights under this Act for all benefits the insurer has paid and for which another insurer may be liable.  Apportionment decisions made under this subsection may not affect an employee's rights and benefits under this Act.  There may be no reduction of an employee's entitlement to any benefits under this Act payable by an insurer based on a prior work-related injury that was the subject of a lump sum settlement approved by the board prior to the date of the injury for which the insurer is responsible.  The board has jurisdiction over proceedings to determine the apportionment of liability among responsible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301, §1 (AMD); PL 2009, c. 301, §2 (AFF).]</w:t>
      </w:r>
    </w:p>
    <w:p>
      <w:pPr>
        <w:jc w:val="both"/>
        <w:spacing w:before="100" w:after="0"/>
        <w:ind w:start="360"/>
        <w:ind w:firstLine="360"/>
      </w:pPr>
      <w:r>
        <w:rPr>
          <w:b/>
        </w:rPr>
        <w:t>4</w:t>
        <w:t xml:space="preserve">.  </w:t>
      </w:r>
      <w:r>
        <w:rPr>
          <w:b/>
        </w:rPr>
        <w:t xml:space="preserve">Consolidation.</w:t>
        <w:t xml:space="preserve"> </w:t>
      </w:r>
      <w:r>
        <w:t xml:space="preserve"> </w:t>
      </w:r>
      <w:r>
        <w:t xml:space="preserve">The board may consolidate some or all proceedings arising out of multiple injuries.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§9 (AMD). PL 2009, c. 301, §1 (AMD). PL 2009, c. 301, §2 (AFF). </w:t>
      </w:r>
    </w:p>
    <w:p>
      <w:pPr>
        <w:jc w:val="both"/>
        <w:spacing w:before="100" w:after="100"/>
        <w:ind w:start="1080" w:hanging="720"/>
      </w:pPr>
      <w:r>
        <w:rPr>
          <w:b/>
        </w:rPr>
        <w:t>§</w:t>
        <w:t>355</w:t>
        <w:t xml:space="preserve">.  </w:t>
      </w:r>
      <w:r>
        <w:rPr>
          <w:b/>
        </w:rPr>
        <w:t xml:space="preserve">Employment Rehabilitation Fund</w:t>
      </w:r>
    </w:p>
    <w:p>
      <w:pPr>
        <w:jc w:val="both"/>
        <w:spacing w:before="100" w:after="100"/>
        <w:ind w:start="360"/>
        <w:ind w:firstLine="360"/>
      </w:pPr>
      <w:r>
        <w:rPr/>
      </w:r>
      <w:r>
        <w:rPr/>
      </w:r>
      <w:r>
        <w:t xml:space="preserve">If an employee who has completed a rehabilitation program under </w:t>
      </w:r>
      <w:r>
        <w:t>section 217</w:t>
      </w:r>
      <w:r>
        <w:t xml:space="preserve">, whether implementation is approved or ordered by the board, subsequently sustains a personal injury arising out of and in the course of employment and that injury, in combination with the prior injury, results in a reduction in earning capacity that is substantially greater in duration or degree, or both, than that which would have resulted from the subsequent injury alone, taking into account the age, education, employment opportunities and other factors related to the employee, the employer at the time of the subsequent injury is entitled to reimbursement from the Employment Rehabilitation Fund, referred to in this section as the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Fund administration and contributions.</w:t>
        <w:t xml:space="preserve"> </w:t>
      </w:r>
      <w:r>
        <w:t xml:space="preserve"> </w:t>
      </w:r>
      <w:r>
        <w:t xml:space="preserve">There is established a special fund, known as the Employment Rehabilitation Fund, for the sole purpose of making payments in accordance with this Act.  The fund is administered by the board.  The Treasurer of State is the custodian of the fund.  All money and securities in the fund must be held in trust by the Treasurer of State for the purpose of making payments under this Act and are not money or property for the general use of the State.  The fund does not lapse.</w:t>
      </w:r>
    </w:p>
    <w:p>
      <w:pPr>
        <w:jc w:val="both"/>
        <w:spacing w:before="100" w:after="0"/>
        <w:ind w:start="360"/>
      </w:pPr>
      <w:r>
        <w:rPr/>
      </w:r>
      <w:r>
        <w:rPr/>
      </w:r>
      <w:r>
        <w:t xml:space="preserve">The Treasurer of State may disburse money from the fund only upon written order of the board.  The Treasurer of State shall invest the money of the fund in accordance with law.  Interest, income and dividends from the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w:t>
        <w:t xml:space="preserve"> </w:t>
      </w:r>
      <w:r>
        <w:t xml:space="preserve"> </w:t>
      </w:r>
      <w:r>
        <w:t xml:space="preserve">An employer is not entitled to reimbursement from the fund in the event of subsequent injury if an injured employee returns to the employee's preinjury job with the same employer without the provision of significant rehabilitation services or significant modification of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Reimbursement.</w:t>
        <w:t xml:space="preserve"> </w:t>
      </w:r>
      <w:r>
        <w:t xml:space="preserve"> </w:t>
      </w:r>
      <w:r>
        <w:t xml:space="preserve">The employer must be reimbursed at least quarterly from the fund for any weekly wage replacement benefits for which the employer is liable under </w:t>
      </w:r>
      <w:r>
        <w:t>section 212</w:t>
      </w:r>
      <w:r>
        <w:t xml:space="preserve">, </w:t>
      </w:r>
      <w:r>
        <w:t>213</w:t>
      </w:r>
      <w:r>
        <w:t xml:space="preserve"> or </w:t>
      </w:r>
      <w:r>
        <w:t>215</w:t>
      </w:r>
      <w:r>
        <w:t xml:space="preserve"> and that are paid by that employer.</w:t>
      </w:r>
    </w:p>
    <w:p>
      <w:pPr>
        <w:jc w:val="both"/>
        <w:spacing w:before="100" w:after="0"/>
        <w:ind w:start="720"/>
      </w:pPr>
      <w:r>
        <w:rPr/>
        <w:t>A</w:t>
        <w:t xml:space="preserve">.  </w:t>
      </w:r>
      <w:r>
        <w:rPr/>
      </w:r>
      <w:r>
        <w:t xml:space="preserve">An employer entitled to reimbursement under this section remains liable to the employee for all payments otherwise required from the employer by this Act and remains responsible for carrying out the rehabilitation efforts required by this Act as a result of the subsequent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order a reduction, suspension or termination of reimbursement of an employer under this section if the board finds that the employer has not made a bona fide effort to return the employee to continuing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Apportionment.</w:t>
        <w:t xml:space="preserve"> </w:t>
      </w:r>
      <w:r>
        <w:t xml:space="preserve"> </w:t>
      </w:r>
      <w:r>
        <w:t xml:space="preserve">Reimbursement under this section must be reduced by the amount of any contribution paid to the employer by any other employer for wage replacement benefits on the basis of apportioned liability under </w:t>
      </w:r>
      <w:r>
        <w:t>section 354</w:t>
      </w:r>
      <w:r>
        <w:t xml:space="preserve">.</w:t>
      </w:r>
    </w:p>
    <w:p>
      <w:pPr>
        <w:jc w:val="both"/>
        <w:spacing w:before="100" w:after="0"/>
        <w:ind w:start="720"/>
      </w:pPr>
      <w:r>
        <w:rPr/>
        <w:t>A</w:t>
        <w:t xml:space="preserve">.  </w:t>
      </w:r>
      <w:r>
        <w:rPr/>
      </w:r>
      <w:r>
        <w:t xml:space="preserve">If insurers disagree on the apportionment of liability in a case under this section, the matter must be considered by the board before an insurer may file a petition under </w:t>
      </w:r>
      <w:r>
        <w:t>section 354</w:t>
      </w:r>
      <w:r>
        <w:t xml:space="preserve">.  The board shall encourage agreement between the insurers and, if agreement can not be achieved, shall make a recommendation on the apportionment of liability.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Employer knowledge.</w:t>
        <w:t xml:space="preserve"> </w:t>
      </w:r>
      <w:r>
        <w:t xml:space="preserve"> </w:t>
      </w:r>
      <w:r>
        <w:t xml:space="preserve">An employer otherwise entitled to reimbursement under this section is entitled to that reimbursement regardless of whether the employer has knowledge at any time that the employee had completed an approved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Hiring incentive; wage credit.</w:t>
        <w:t xml:space="preserve"> </w:t>
      </w:r>
      <w:r>
        <w:t xml:space="preserve"> </w:t>
      </w:r>
      <w:r>
        <w:t xml:space="preserve">If an employer hires an employee after the employee has completed a rehabilitation program under </w:t>
      </w:r>
      <w:r>
        <w:t>section 217</w:t>
      </w:r>
      <w:r>
        <w:t xml:space="preserve">, that subsequent employer may apply for a wage credit under this subsection. For the purposes of this subsection, the term "employer" does not include the insurer of a subsequent employer or the same employer for whom an employee worked when the employee sustained the injury for which the employee received rehabilitation.</w:t>
      </w:r>
    </w:p>
    <w:p>
      <w:pPr>
        <w:jc w:val="both"/>
        <w:spacing w:before="100" w:after="0"/>
        <w:ind w:start="720"/>
      </w:pPr>
      <w:r>
        <w:rPr/>
        <w:t>A</w:t>
        <w:t xml:space="preserve">.  </w:t>
      </w:r>
      <w:r>
        <w:rPr/>
      </w:r>
      <w:r>
        <w:t xml:space="preserve">The subsequent employer must file an application for a wage credit by providing the board, within 2 weeks after the close of the first 90 days of employment of the employee, with a statement of the total direct wages, earnings or salary the employer paid to the employee for the first 90 days of employment along with such verification as may be required by rule of the board.  Within 2 weeks after the close of the first 180 days of employment, the subsequent employer must provide to the board a supplemental report of the direct wages, earnings and salary for the 2nd 90-day period, along with the required verification.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compute the wage credit, which consists of a sum equal to 50% of the average weekly direct wages, earnings or salary for the 90-day period listed in the subsequent employer's application or statement, but may not exceed the amount of workers' compensation benefits that the employee did not receive because of the employment but would have been entitled to for the wage credit period, based on the average weekly workers' compensation benefits during the most recent 60-day period in which the employee did receive benefits preceding the employee's hiring by the employer.</w:t>
      </w:r>
    </w:p>
    <w:p>
      <w:pPr>
        <w:jc w:val="both"/>
        <w:spacing w:before="100" w:after="0"/>
        <w:ind w:start="1080"/>
      </w:pPr>
      <w:r>
        <w:rPr/>
        <w:t>(</w:t>
        <w:t>1</w:t>
        <w:t xml:space="preserve">)  </w:t>
      </w:r>
      <w:r>
        <w:rPr/>
      </w:r>
      <w:r>
        <w:t xml:space="preserve">On adequate verification of the application or statement, the board shall pay the amount for each 90-day period in a lump sum to the subsequent employer within 30 days of receiving the application or statement.</w:t>
      </w:r>
    </w:p>
    <w:p>
      <w:pPr>
        <w:jc w:val="both"/>
        <w:spacing w:before="100" w:after="0"/>
        <w:ind w:start="1080"/>
      </w:pPr>
      <w:r>
        <w:rPr/>
        <w:t>(</w:t>
        <w:t>2</w:t>
        <w:t xml:space="preserve">)  </w:t>
      </w:r>
      <w:r>
        <w:rPr/>
      </w:r>
      <w:r>
        <w:t xml:space="preserve">The board shall bill these sums to the insurer or self-insurer that was responsible for payment of the compensation received by the employee immediately before the employee's hiring by the subsequent employer.  When the sum is received from the insurer or self-insurer, the board shall deposit it in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employment with the subsequent employer is terminated by the employer without good cause before the completion of 12 consecutive months of employment, the subsequent employer shall return to the board all wage credits received by the employer for that employee and all sums paid into the fund by the insurer or self-insurer must be returned to that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wage credit is paid from the fund to an employer, the insurer or self-insurer who paid the sum into the fund has no further obligation to pay any sums into the fund for any future reemployment of that employee, except as provided in </w:t>
      </w:r>
      <w:r>
        <w:t>paragraph E</w:t>
      </w:r>
      <w:r>
        <w:t xml:space="preserve">.</w:t>
      </w:r>
    </w:p>
    <w:p>
      <w:pPr>
        <w:jc w:val="both"/>
        <w:spacing w:before="100" w:after="0"/>
        <w:ind w:start="1080"/>
      </w:pPr>
      <w:r>
        <w:rPr/>
        <w:t>(</w:t>
        <w:t>1</w:t>
        <w:t xml:space="preserve">)  </w:t>
      </w:r>
      <w:r>
        <w:rPr/>
      </w:r>
      <w:r>
        <w:t xml:space="preserve">Total wage credit payments under a plan may not exceed a period of 180 days, not including periods subject to refunds under </w:t>
      </w:r>
      <w:r>
        <w:t>paragraph C</w:t>
      </w:r>
      <w:r>
        <w:t xml:space="preserve">.</w:t>
      </w:r>
    </w:p>
    <w:p>
      <w:pPr>
        <w:jc w:val="both"/>
        <w:spacing w:before="100" w:after="0"/>
        <w:ind w:start="1080"/>
      </w:pPr>
      <w:r>
        <w:rPr/>
        <w:t>(</w:t>
        <w:t>2</w:t>
        <w:t xml:space="preserve">)  </w:t>
      </w:r>
      <w:r>
        <w:rPr/>
      </w:r>
      <w:r>
        <w:t xml:space="preserve">The board shall inform subsequent employers of the number of days of wage credits available, if it is less than 180 days.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Wage credit payments are not dependent on the receipt by the fund of payments from an insurer or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Plan implementation costs; payment; reimbursement.</w:t>
        <w:t xml:space="preserve"> </w:t>
      </w:r>
      <w:r>
        <w:t xml:space="preserve"> </w:t>
      </w:r>
      <w:r>
        <w:t xml:space="preserve">The actual and direct costs of implementing plans ordered by the board under </w:t>
      </w:r>
      <w:r>
        <w:t>section 217, subsection 2</w:t>
      </w:r>
      <w:r>
        <w:t xml:space="preserve"> must be paid from the fund.  Payments must be made directly to the rehabilitation providers or other persons who provide services under the plan.  Upon an order of recovery of plan implementation costs under </w:t>
      </w:r>
      <w:r>
        <w:t>section 217, subsection 3</w:t>
      </w:r>
      <w:r>
        <w:t xml:space="preserve">, the board shall assess the employer who refused to agree to implement the plan under </w:t>
      </w:r>
      <w:r>
        <w:t>section 217</w:t>
      </w:r>
      <w:r>
        <w:t xml:space="preserve"> an amount equal to 180% of the costs paid from the fund under this subsection.  An employer may appeal the imposition or amount of this assessment to the board.  The employee may not be a party to this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Jurisdiction.</w:t>
        <w:t xml:space="preserve"> </w:t>
      </w:r>
      <w:r>
        <w:t xml:space="preserve"> </w:t>
      </w:r>
      <w:r>
        <w:t xml:space="preserve">The board has jurisdiction over all claims brought against the fund.</w:t>
      </w:r>
    </w:p>
    <w:p>
      <w:pPr>
        <w:jc w:val="both"/>
        <w:spacing w:before="100" w:after="0"/>
        <w:ind w:start="720"/>
      </w:pPr>
      <w:r>
        <w:rPr/>
        <w:t>A</w:t>
        <w:t xml:space="preserve">.  </w:t>
      </w:r>
      <w:r>
        <w:rPr/>
      </w:r>
      <w:r>
        <w:t xml:space="preserve">The fund is not bound as to any question of law or fact by reason of any award or any adjudication to which the fund was not a party or in relation to which the fund was not notified, at least 21 days prior to the award or adjudication, that the fund might be subject to liability for the injury or death of an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 employer shall notify the board of any possible claim for subsequent injury reimbursement against the fund as soon as practicable, but in no event later than one year after the injury or death of an employee. Failure to provide timely notice bars the claim.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Legal representation.</w:t>
        <w:t xml:space="preserve"> </w:t>
      </w:r>
      <w:r>
        <w:t xml:space="preserve"> </w:t>
      </w:r>
      <w:r>
        <w:t xml:space="preserve">The Attorney General shall provide legal representation for any claim made under this section, including the enforcement of an assessment made under </w:t>
      </w:r>
      <w:r>
        <w:t>subsection 7</w:t>
      </w:r>
      <w:r>
        <w:t xml:space="preserve"> or the defense of an employer's appeal of that assessment.</w:t>
      </w:r>
    </w:p>
    <w:p>
      <w:pPr>
        <w:jc w:val="both"/>
        <w:spacing w:before="100" w:after="0"/>
        <w:ind w:start="720"/>
      </w:pPr>
      <w:r>
        <w:rPr/>
        <w:t>A</w:t>
        <w:t xml:space="preserve">.  </w:t>
      </w:r>
      <w:r>
        <w:rPr/>
      </w:r>
      <w:r>
        <w:t xml:space="preserve">The reasonable expense of prosecution or defense by the Attorney General of assessments to or claims against the fund, subject to the approval of the board, are payable out of the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Attorney General may not prosecute an assessment against the State or defend the fund against any claim brought by the State.  The board may hire, using money from the fund,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Effect on obligations of prior employers.</w:t>
        <w:t xml:space="preserve"> </w:t>
      </w:r>
      <w:r>
        <w:t xml:space="preserve"> </w:t>
      </w:r>
      <w:r>
        <w:t xml:space="preserve">The availability of reimbursement under this section does not limit or reduce the obligation of any previous employer to provide benefits under this Act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Freedom from liability.</w:t>
        <w:t xml:space="preserve"> </w:t>
      </w:r>
      <w:r>
        <w:t xml:space="preserve"> </w:t>
      </w:r>
      <w:r>
        <w:t xml:space="preserve">The State is not liable for any claim against the fund that is in excess of the fund's current ability to pay. If any claim against the fund is denied due to an inadequate fund balance, that claim is entitled to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Applicability.</w:t>
        <w:t xml:space="preserve"> </w:t>
      </w:r>
      <w:r>
        <w:t xml:space="preserve"> </w:t>
      </w:r>
      <w:r>
        <w:t xml:space="preserve">Reimbursement under this section is available solely with respect to employees who are injured and rehabilitated after November 20,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13</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§3 (RP).]</w:t>
      </w:r>
    </w:p>
    <w:p>
      <w:pPr>
        <w:jc w:val="both"/>
        <w:spacing w:before="100" w:after="100"/>
        <w:ind w:start="360"/>
        <w:ind w:firstLine="360"/>
      </w:pPr>
      <w:r>
        <w:rPr>
          <w:b/>
        </w:rPr>
        <w:t>14</w:t>
        <w:t xml:space="preserve">.  </w:t>
      </w:r>
      <w:r>
        <w:rPr>
          <w:b/>
        </w:rPr>
        <w:t xml:space="preserve">Funding; assessments.</w:t>
        <w:t xml:space="preserve"> </w:t>
      </w:r>
      <w:r>
        <w:t xml:space="preserve"> </w:t>
      </w:r>
      <w:r>
        <w:t xml:space="preserve">This subsection governs funding of the Employment Rehabilitation Fund.</w:t>
      </w:r>
    </w:p>
    <w:p>
      <w:pPr>
        <w:jc w:val="both"/>
        <w:spacing w:before="100" w:after="0"/>
        <w:ind w:start="720"/>
      </w:pPr>
      <w:r>
        <w:rPr/>
        <w:t>A</w:t>
        <w:t xml:space="preserve">.  </w:t>
      </w:r>
      <w:r>
        <w:rPr/>
      </w:r>
      <w:r>
        <w:t xml:space="preserve">The board may levy an assessment when the balance in the fund is insufficient to meet obligations of the fund under this section.  The assessment must be levied on each insurer based on its actual paid losses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B</w:t>
        <w:t xml:space="preserve">.  </w:t>
      </w:r>
      <w:r>
        <w:rPr/>
      </w:r>
      <w:r>
        <w:t xml:space="preserve">Every insurer shall keep as permanent records a record of the amount and date of each loss paid.  The records must be open for inspection at all times.  Every insurer shall, on or before the 60th day following the end of a calendar quarter, render a report to the State Tax Assessor stating the amount of losses paid by the insurer during the preceding calendar quarter.  That report must contain any further information the board prescribes by rule.</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C</w:t>
        <w:t xml:space="preserve">.  </w:t>
      </w:r>
      <w:r>
        <w:rPr/>
      </w:r>
      <w:r>
        <w:t xml:space="preserve">The State Tax Assessor shall pay daily all receipts from any assessment and any receipts received under </w:t>
      </w:r>
      <w:r>
        <w:t>paragraph F</w:t>
      </w:r>
      <w:r>
        <w:t xml:space="preserve"> to the Treasurer of State.  The Treasurer of State shall deposit all receipts as received in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D</w:t>
        <w:t xml:space="preserve">.  </w:t>
      </w:r>
      <w:r>
        <w:rPr/>
      </w:r>
      <w:r>
        <w:t xml:space="preserve">The State Tax Assessor or the State Tax Assessor's duly authorized agent or the board, for the purpose of determining the truth or falsity of any statement or return made by the insurer, may:</w:t>
      </w:r>
    </w:p>
    <w:p>
      <w:pPr>
        <w:jc w:val="both"/>
        <w:spacing w:before="100" w:after="0"/>
        <w:ind w:start="1080"/>
      </w:pPr>
      <w:r>
        <w:rPr/>
        <w:t>(</w:t>
        <w:t>1</w:t>
        <w:t xml:space="preserve">)  </w:t>
      </w:r>
      <w:r>
        <w:rPr/>
      </w:r>
      <w:r>
        <w:t xml:space="preserve">Enter any place of business of an insurer to inspect any books or records of the insurer;</w:t>
      </w:r>
    </w:p>
    <w:p>
      <w:pPr>
        <w:jc w:val="both"/>
        <w:spacing w:before="100" w:after="0"/>
        <w:ind w:start="1080"/>
      </w:pPr>
      <w:r>
        <w:rPr/>
        <w:t>(</w:t>
        <w:t>2</w:t>
        <w:t xml:space="preserve">)  </w:t>
      </w:r>
      <w:r>
        <w:rPr/>
      </w:r>
      <w:r>
        <w:t xml:space="preserve">Notwithstanding any other provision of law, inspect any records or reports filed by an insurer with the Superintendent of Insurance; and</w:t>
      </w:r>
    </w:p>
    <w:p>
      <w:pPr>
        <w:jc w:val="both"/>
        <w:spacing w:before="100" w:after="0"/>
        <w:ind w:start="1080"/>
      </w:pPr>
      <w:r>
        <w:rPr/>
        <w:t>(</w:t>
        <w:t>3</w:t>
        <w:t xml:space="preserve">)  </w:t>
      </w:r>
      <w:r>
        <w:rPr/>
      </w:r>
      <w:r>
        <w:t xml:space="preserve">Delegate these powers to the Superintendent of Insurance or the superintendent's deputies,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E</w:t>
        <w:t xml:space="preserve">.  </w:t>
      </w:r>
      <w:r>
        <w:rPr/>
      </w:r>
      <w:r>
        <w:t xml:space="preserve">Whenever any insurer fails to pay any assessment due under this subsection within the time specified by the board,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F</w:t>
        <w:t xml:space="preserve">.  </w:t>
      </w:r>
      <w:r>
        <w:rPr/>
      </w:r>
      <w:r>
        <w:t xml:space="preserve">In every case of the death of any employee when there is no person entitled to compensation, the employer shall pay to the Treasurer of State a sum equal to 100 times the average weekly wage in the State as computed by the Department of Labor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w:pPr>
        <w:jc w:val="both"/>
        <w:spacing w:before="100" w:after="0"/>
        <w:ind w:start="720"/>
      </w:pPr>
      <w:r>
        <w:rPr/>
        <w:t>G</w:t>
        <w:t xml:space="preserve">.  </w:t>
      </w:r>
      <w:r>
        <w:rPr/>
      </w:r>
      <w:r>
        <w:t xml:space="preserve">For the purposes of this subsection, "insurer" means an insurance company or association that does business or collects premiums for workers' compensation insurance in this State or an individual or group self-insurer under this Act, including the State and any other public or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448, §§3,4 (AMD). </w:t>
      </w:r>
    </w:p>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jc w:val="both"/>
        <w:spacing w:before="100" w:after="100"/>
        <w:ind w:start="1080" w:hanging="720"/>
      </w:pPr>
      <w:r>
        <w:rPr>
          <w:b/>
        </w:rPr>
        <w:t>§</w:t>
        <w:t>355-C</w:t>
        <w:t xml:space="preserve">.  </w:t>
      </w:r>
      <w:r>
        <w:rPr>
          <w:b/>
        </w:rPr>
        <w:t xml:space="preserve">Powers and duties of committee; reimbursement</w:t>
      </w:r>
    </w:p>
    <w:p>
      <w:pPr>
        <w:jc w:val="both"/>
        <w:spacing w:before="100" w:after="100"/>
        <w:ind w:start="360"/>
        <w:ind w:firstLine="360"/>
      </w:pPr>
      <w:r>
        <w:rPr/>
      </w:r>
      <w:r>
        <w:rPr/>
      </w:r>
      <w:r>
        <w:t xml:space="preserve">The committee shall review and evaluate requests for reimbursement of workers' compensation benefits paid or payable under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360"/>
        <w:ind w:firstLine="360"/>
      </w:pPr>
      <w:r>
        <w:rPr>
          <w:b/>
        </w:rPr>
        <w:t>1</w:t>
        <w:t xml:space="preserve">.  </w:t>
      </w:r>
      <w:r>
        <w:rPr>
          <w:b/>
        </w:rPr>
        <w:t xml:space="preserve">Power to bind fund.</w:t>
        <w:t xml:space="preserve"> </w:t>
      </w:r>
      <w:r>
        <w:t xml:space="preserve"> </w:t>
      </w:r>
      <w:r>
        <w:t xml:space="preserve">The committee has power to bind the fund with respect to the monetary value of each settlement reimbursable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Request for reimbursement; information required.</w:t>
        <w:t xml:space="preserve"> </w:t>
      </w:r>
      <w:r>
        <w:t xml:space="preserve"> </w:t>
      </w:r>
      <w:r>
        <w:t xml:space="preserve">A request for reimbursement from the fund must include:</w:t>
      </w:r>
    </w:p>
    <w:p>
      <w:pPr>
        <w:jc w:val="both"/>
        <w:spacing w:before="100" w:after="0"/>
        <w:ind w:start="720"/>
      </w:pPr>
      <w:r>
        <w:rPr/>
        <w:t>A</w:t>
        <w:t xml:space="preserve">.  </w:t>
      </w:r>
      <w:r>
        <w:rPr/>
      </w:r>
      <w:r>
        <w:t xml:space="preserve">If the claim for reimbursement is made pursuant to </w:t>
      </w:r>
      <w:r>
        <w:t>section 213, subsection 3</w:t>
      </w:r>
      <w:r>
        <w:t xml:space="preserve">, evidence that the claimant employee's date of injury is on or after January 1, 1993 and before January 1, 1998.  If the claim for reimbursement is made under </w:t>
      </w:r>
      <w:r>
        <w:t>section 213, subsection 4</w:t>
      </w:r>
      <w:r>
        <w:t xml:space="preserve">, evidence that the claimant employee's date of injury is on or after January 1, 1993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Complete medical reports, agreements or orders relating to the employee's permanent impairment;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Evidence that the insurer or self-insurer has paid or is liable for payment of 260 weeks of indemnity benefits pursuant to </w:t>
      </w:r>
      <w:r>
        <w:t>section 212</w:t>
      </w:r>
      <w:r>
        <w:t xml:space="preserve"> or </w:t>
      </w:r>
      <w:r>
        <w:t>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Evidence that the benefit payments for which reimbursement is requested were paid or are payable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Verification that the insurer or self-insurer has adjusted and is adjusting the claim for which reimbursement is requested in a manner that is consistent with usual and customary claims service provided by the insurer or self-insurer for claims that are not subject to reimbursement under </w:t>
      </w:r>
      <w:r>
        <w:t>section 213</w:t>
      </w:r>
      <w:r>
        <w:t xml:space="preserve">.  At a minimum, verification must include evidence that the insurer or self-insurer has monitored the claimant employee's medical condition and investigated return-to-work options applicable in the circumstance;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F</w:t>
        <w:t xml:space="preserve">.  </w:t>
      </w:r>
      <w:r>
        <w:rPr/>
      </w:r>
      <w:r>
        <w:t xml:space="preserve">Such other information or requirements as the committee may prescribe.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Determinations.</w:t>
        <w:t xml:space="preserve"> </w:t>
      </w:r>
      <w:r>
        <w:t xml:space="preserve"> </w:t>
      </w:r>
      <w:r>
        <w:t xml:space="preserve">The committee shall review requests for reimbursement within 14 days of receipt of the request or within a longer period of time if mutually acceptable to the parties.  The committee shall issue a final determination, designated as such, to each insurer or self-insurer that has requested reimbursement.  An insurer or self-insurer may petition the board for a hearing before an administrative law judge within 30 days of notice of the determination.  Review by the board is limited to errors of law and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§21 (AMD).]</w:t>
      </w:r>
    </w:p>
    <w:p>
      <w:pPr>
        <w:jc w:val="both"/>
        <w:spacing w:before="100" w:after="0"/>
        <w:ind w:start="360"/>
        <w:ind w:firstLine="360"/>
      </w:pPr>
      <w:r>
        <w:rPr>
          <w:b/>
        </w:rPr>
        <w:t>4</w:t>
        <w:t xml:space="preserve">.  </w:t>
      </w:r>
      <w:r>
        <w:rPr>
          <w:b/>
        </w:rPr>
        <w:t xml:space="preserve">Effect of board decrees.</w:t>
        <w:t xml:space="preserve"> </w:t>
      </w:r>
      <w:r>
        <w:t xml:space="preserve"> </w:t>
      </w:r>
      <w:r>
        <w:t xml:space="preserve">The fund and the committee are bound to the same extent as the employee and insurer or self-insurer by decrees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Effect of mediation agreement or consent decree.</w:t>
        <w:t xml:space="preserve"> </w:t>
      </w:r>
      <w:r>
        <w:t xml:space="preserve"> </w:t>
      </w:r>
      <w:r>
        <w:t xml:space="preserve">The fund is bound as to any question of law or fact by reason of a mediation agreement under </w:t>
      </w:r>
      <w:r>
        <w:t>section 313</w:t>
      </w:r>
      <w:r>
        <w:t xml:space="preserve"> or a consent decree, provided the committee was given notice of the terms of the agreement or decree at least 21 days before the effective date of the agreement or decree and did not object.  The fund is not bound by the agreement or decree if the committee provides a written objection to the proposed terms of the agreement or decree to the insurer or self-insurer.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Effect of independent medical examiner's report</w:t>
        <w:t xml:space="preserve"> </w:t>
      </w:r>
      <w:r>
        <w:t xml:space="preserve"> </w:t>
      </w:r>
      <w:r>
        <w:t xml:space="preserve">.  The fund is bound to the same extent as the employee and the insurer or self-insurer by findings contained in an independent medical examiner's report provided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7</w:t>
        <w:t xml:space="preserve">.  </w:t>
      </w:r>
      <w:r>
        <w:rPr>
          <w:b/>
        </w:rPr>
        <w:t xml:space="preserve">Service agent.</w:t>
        <w:t xml:space="preserve"> </w:t>
      </w:r>
      <w:r>
        <w:t xml:space="preserve"> </w:t>
      </w:r>
      <w:r>
        <w:t xml:space="preserve">The committee, by contract, may delegate day-to-day business operations of the fund and duties and powers of the committee regarding reimbursement requests or assessments to a service agent qualified under this subsection.  Pursuant to the contract, a service agent retained under this subsection must be held to account as a fiduciary in the administration of the assets of the fund and in the conduct of the business affairs of the fund.</w:t>
      </w:r>
    </w:p>
    <w:p>
      <w:pPr>
        <w:jc w:val="both"/>
        <w:spacing w:before="100" w:after="0"/>
        <w:ind w:start="720"/>
      </w:pPr>
      <w:r>
        <w:rPr/>
        <w:t>A</w:t>
        <w:t xml:space="preserve">.  </w:t>
      </w:r>
      <w:r>
        <w:rPr/>
      </w:r>
      <w:r>
        <w:t xml:space="preserve">The committee shall enter into written contracts with persons or entities qualified by good business reputation, training, education and experience to perform day-to-day duties in administering the fund's responsibilities set forth in </w:t>
      </w:r>
      <w:r>
        <w:t>section 213, subsections 3</w:t>
      </w:r>
      <w:r>
        <w:t xml:space="preserve"> and </w:t>
      </w:r>
      <w:r>
        <w:t>4</w:t>
      </w:r>
      <w:r>
        <w:t xml:space="preserve">.  Such a person is referred to in this section and </w:t>
      </w:r>
      <w:r>
        <w:t>sections 355‑A</w:t>
      </w:r>
      <w:r>
        <w:t xml:space="preserve">, </w:t>
      </w:r>
      <w:r>
        <w:t>355‑B</w:t>
      </w:r>
      <w:r>
        <w:t xml:space="preserve"> and </w:t>
      </w:r>
      <w:r>
        <w:t>356</w:t>
      </w:r>
      <w:r>
        <w:t xml:space="preserve"> as the "service agent."  A service agent must hold all licenses, registrations and permits required to engage in activities or undertake responsibilities delegated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A service agent may subcontract with attorneys acceptable to the committee to advise or represent the fund in legal actions as necessary.  Expenses of the service agent and attorneys retained by the service agent, upon approval by the committee, are paid from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A service agent shall acknowledge and reimburse claims of insurers and self-insurers consistent with terms of any proposed or executed settlement among parties to the settlement, provided that the service agent has been accorded notice and opportunity to participate regarding the terms and conditions of the settlement and that the commitment to reimburse the insurer or self-insurer is in the best interest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A service agent may be empowered, by contract, to levy assessment in the name of the fund, institute assessment collection procedures, including legal action if necessary, process requests for reimbursement from the fund in a timely manner, deposit money in the fund with the Treasurer of State if such funds are not needed to meet immediate cash flow demands and commit the fund to agreed levels of insurer or self-insurer reimbursement based upon review and assessment of prospects of consensual settlements.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E</w:t>
        <w:t xml:space="preserve">.  </w:t>
      </w:r>
      <w:r>
        <w:rPr/>
      </w:r>
      <w:r>
        <w:t xml:space="preserve">A service agent shall make recommendations to the committee regarding rule-making standards considered necessary to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PL 2015, c. 297, §21 (AMD). </w:t>
      </w:r>
    </w:p>
    <w:p>
      <w:pPr>
        <w:jc w:val="both"/>
        <w:spacing w:before="100" w:after="100"/>
        <w:ind w:start="1080" w:hanging="720"/>
      </w:pPr>
      <w:r>
        <w:rPr>
          <w:b/>
        </w:rPr>
        <w:t>§</w:t>
        <w:t>356</w:t>
        <w:t xml:space="preserve">.  </w:t>
      </w:r>
      <w:r>
        <w:rPr>
          <w:b/>
        </w:rPr>
        <w:t xml:space="preserve">Funding of Supplemental Benefits Fund</w:t>
      </w:r>
    </w:p>
    <w:p>
      <w:pPr>
        <w:jc w:val="both"/>
        <w:spacing w:before="100" w:after="100"/>
        <w:ind w:start="360"/>
        <w:ind w:firstLine="360"/>
      </w:pPr>
      <w:r>
        <w:rPr>
          <w:b/>
        </w:rPr>
        <w:t>1</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1-A</w:t>
        <w:t xml:space="preserve">.  </w:t>
      </w:r>
      <w:r>
        <w:rPr>
          <w:b/>
        </w:rPr>
        <w:t xml:space="preserve">Assessment.</w:t>
        <w:t xml:space="preserve"> </w:t>
      </w:r>
      <w:r>
        <w:t xml:space="preserve"> </w:t>
      </w:r>
      <w:r>
        <w:t xml:space="preserve">The committee may levy an assessment against insurers to provide funds to meet the obligations of the fund for reimbursement pursuant to </w:t>
      </w:r>
      <w:r>
        <w:t>section 213, subsections 3</w:t>
      </w:r>
      <w:r>
        <w:t xml:space="preserve"> and </w:t>
      </w:r>
      <w:r>
        <w:t>4</w:t>
      </w:r>
      <w:r>
        <w:t xml:space="preserve">.  The committee may also delegate its duties and powers under this section to a service agent pursuant to </w:t>
      </w:r>
      <w:r>
        <w:t>section 355‑C, subsection 7</w:t>
      </w:r>
      <w:r>
        <w:t xml:space="preserve">.</w:t>
      </w:r>
    </w:p>
    <w:p>
      <w:pPr>
        <w:jc w:val="both"/>
        <w:spacing w:before="100" w:after="0"/>
        <w:ind w:start="720"/>
      </w:pPr>
      <w:r>
        <w:rPr/>
        <w:t>A</w:t>
        <w:t xml:space="preserve">.  </w:t>
      </w:r>
      <w:r>
        <w:rPr/>
      </w:r>
      <w:r>
        <w:t xml:space="preserve">To the extent practicable, the committee shall make an assessment on June 1st of each year in which the fund is obligated to make reimbursement.  The amount of the assessment must be an amount estimated to be sufficient to reimburse qualified insurers during the next 12 months.  Supplementary assessments may be levied during the 12-month period if exigent conditions arise and the balance in the fund is inadequate to discharge reimbursements in a timely manner.  No more than 2 supplementary assessments may be levied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B</w:t>
        <w:t xml:space="preserve">.  </w:t>
      </w:r>
      <w:r>
        <w:rPr/>
      </w:r>
      <w:r>
        <w:t xml:space="preserve">The assessment must be distributed between insurance carriers and self-insured employers in direct proportion to the pro rata share of disabling cases attributable to each of the payor classifications for the most recent calendar year for which data are available.  The distribution of the assessment must be determined on a basis consistent with the information reported by the Department of Labor, Bureau of Labor Standards, Research and Statistics Division in its annual "Characteristics of Work-Related Injuries and Illnesses in Maine" publication.  Any segment of the market identified in the publication as "not insured" must be excluded from the calculation of proportionate shares.</w:t>
      </w:r>
    </w:p>
    <w:p>
      <w:pPr>
        <w:jc w:val="both"/>
        <w:spacing w:before="100" w:after="0"/>
        <w:ind w:start="1080"/>
      </w:pPr>
      <w:r>
        <w:rPr/>
        <w:t>(</w:t>
        <w:t>1</w:t>
        <w:t xml:space="preserve">)  </w:t>
      </w:r>
      <w:r>
        <w:rPr/>
      </w:r>
      <w:r>
        <w:t xml:space="preserve">In consultation with the Director of the Bureau of Labor Standards, the committee shall determine a date prior to the required assessment to establish a distribution.  On or before May 1st of each year, the Department of Professional and Financial Regulation, Bureau of Insurance shall provide to the committee the amounts of gross direct workers' compensation premiums written by each licensed insurance carrier and the amount of aggregate benefits paid by each individual and group self-insurer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C</w:t>
        <w:t xml:space="preserve">.  </w:t>
      </w:r>
      <w:r>
        <w:rPr/>
      </w:r>
      <w:r>
        <w:t xml:space="preserve">An assessment against insurers must be based on premiums charged to employers pursuant to </w:t>
      </w:r>
      <w:r>
        <w:t>section 154, subsection 3, paragraph B‑1</w:t>
      </w:r>
      <w:r>
        <w:t xml:space="preserve">.  The assessment must be stated as a percentage of each employer's premium base.  Insurers shall apply the percentage to premiums collected beginning on July 1st.  If a supplementary assessment is levied, the committee shall notify insurers of the new percentage and the insurers shall apply the new percentage to premiums written beginning on the 31st day following notification.</w:t>
      </w:r>
    </w:p>
    <w:p>
      <w:pPr>
        <w:jc w:val="both"/>
        <w:spacing w:before="100" w:after="0"/>
        <w:ind w:start="1080"/>
      </w:pPr>
      <w:r>
        <w:rPr/>
        <w:t>(</w:t>
        <w:t>1</w:t>
        <w:t xml:space="preserve">)  </w:t>
      </w:r>
      <w:r>
        <w:rPr/>
      </w:r>
      <w:r>
        <w:t xml:space="preserve">The total value of assessments collected from insurers pursuant to this section must be credited to the fund.  Each insurer that collects workers' compensation premiums or assessments shall file with the committee on a form prescribed by the committee a return certified by the insurer's chief financial officer specifying assessment collections relating to the calendar quarter next preceding the 15th day of April, July, October and January of each year in which an assessment is applicable.  Affiliated insurers may consolidate payments made to the fund if each carrier is licensed and premium reports respecting that insurer are individually reported within the consolidated return.  Payment of amounts collected pursuant to this section must be remitted to the fund at the time the premium return is filed with the committee.</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authorized workers' compensation carriers in order to facilitate notification to those carriers of their obligation under this section.</w:t>
      </w:r>
    </w:p>
    <w:p>
      <w:pPr>
        <w:jc w:val="both"/>
        <w:spacing w:before="100" w:after="0"/>
        <w:ind w:start="1080"/>
      </w:pPr>
      <w:r>
        <w:rPr/>
        <w:t>(</w:t>
        <w:t>3</w:t>
        <w:t xml:space="preserve">)  </w:t>
      </w:r>
      <w:r>
        <w:rPr/>
      </w:r>
      <w:r>
        <w:t xml:space="preserve">Any insurance carrier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D</w:t>
        <w:t xml:space="preserve">.  </w:t>
      </w:r>
      <w:r>
        <w:rPr/>
      </w:r>
      <w:r>
        <w:t xml:space="preserve">Except for newly approved workers' compensation self-insurers, each self-insurer must be assessed a dollar amount based on the proportion that the self-insurer's aggregate benefits paid as reported pursuant to </w:t>
      </w:r>
      <w:r>
        <w:t>section 154, subsection 5</w:t>
      </w:r>
      <w:r>
        <w:t xml:space="preserve"> bears to the aggregate benefits paid by all self-insurers as so reported.  If a supplementary assessment is levied, the committee shall notify self-insurers 30 days prior to the date upon which the assessment is due.</w:t>
      </w:r>
    </w:p>
    <w:p>
      <w:pPr>
        <w:jc w:val="both"/>
        <w:spacing w:before="100" w:after="0"/>
        <w:ind w:start="1080"/>
      </w:pPr>
      <w:r>
        <w:rPr/>
        <w:t>(</w:t>
        <w:t>1</w:t>
        <w:t xml:space="preserve">)  </w:t>
      </w:r>
      <w:r>
        <w:rPr/>
      </w:r>
      <w:r>
        <w:t xml:space="preserve">The total value of assessments collected from self-insured employers under this section must be credited to the fund.  Each self-insurer shall file with the committee on a form prescribed by the committee a return certified by the self-insurer's chief financial officer attesting to the accuracy of the amount owed to the fund.  Payment of the assessment must be remitted to the fund at the time the return is filed with the committee.  The form and payment are due on the later of July 1st and 30 days after the committee levies the assessment.</w:t>
      </w:r>
    </w:p>
    <w:p>
      <w:pPr>
        <w:jc w:val="both"/>
        <w:spacing w:before="100" w:after="0"/>
        <w:ind w:start="1080"/>
      </w:pPr>
      <w:r>
        <w:rPr/>
        <w:t>(</w:t>
        <w:t>2</w:t>
        <w:t xml:space="preserve">)  </w:t>
      </w:r>
      <w:r>
        <w:rPr/>
      </w:r>
      <w:r>
        <w:t xml:space="preserve">The Department of Professional and Financial Regulation, Bureau of Insurance shall report to the board, the committee and any service agent all newly approved  workers' compensation self-insurers in order to facilitate notification to those self-insurers of their obligation under this section.  A newly approved self-insurer that has historically purchased a policy or policies of workers' compensation covering workers' compensation exposures in this State shall pay assessment to the fund based on the assessment percentage applicable to insurers until the self-insurer has paid benefits for 12 months.</w:t>
      </w:r>
    </w:p>
    <w:p>
      <w:pPr>
        <w:jc w:val="both"/>
        <w:spacing w:before="100" w:after="0"/>
        <w:ind w:start="1080"/>
      </w:pPr>
      <w:r>
        <w:rPr/>
        <w:t>(</w:t>
        <w:t>3</w:t>
        <w:t xml:space="preserve">)  </w:t>
      </w:r>
      <w:r>
        <w:rPr/>
      </w:r>
      <w:r>
        <w:t xml:space="preserve">A self-insurer subject to this section that willfully fails to pay an assessment in accordance with this section commits a civil violation for which a forfeiture of not more than $500 may be adjudged for each day following the due date for which the payment is not made.</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w:pPr>
        <w:jc w:val="both"/>
        <w:spacing w:before="100" w:after="0"/>
        <w:ind w:start="720"/>
      </w:pPr>
      <w:r>
        <w:rPr/>
        <w:t>E</w:t>
        <w:t xml:space="preserve">.  </w:t>
      </w:r>
      <w:r>
        <w:rPr/>
      </w:r>
      <w:r>
        <w:t xml:space="preserve">Rates and premiums charged for workers' compensation policies may not be considered excessive if a surcharge calculated pursuant to this section is made to recoup assessments paid to the fund.  Any surcharge so made must be specifically identified upon the policies or other evidence of coverage.  Such surcharges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2001, c. 448,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(NEW).]</w:t>
      </w:r>
    </w:p>
    <w:p>
      <w:pPr>
        <w:jc w:val="both"/>
        <w:spacing w:before="100" w:after="100"/>
        <w:ind w:start="360"/>
        <w:ind w:firstLine="360"/>
      </w:pPr>
      <w:r>
        <w:rPr>
          <w:b/>
        </w:rPr>
        <w:t>2</w:t>
        <w:t xml:space="preserve">.  </w:t>
      </w:r>
      <w:r>
        <w:rPr>
          <w:b/>
        </w:rPr>
        <w:t xml:space="preserve">Death of an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3</w:t>
        <w:t xml:space="preserve">.  </w:t>
      </w:r>
      <w:r>
        <w:rPr>
          <w:b/>
        </w:rPr>
        <w:t xml:space="preserve">Records and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4</w:t>
        <w:t xml:space="preserve">.  </w:t>
      </w:r>
      <w:r>
        <w:rPr>
          <w:b/>
        </w:rPr>
        <w:t xml:space="preserve">Appropriation of money received.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100"/>
        <w:ind w:start="360"/>
        <w:ind w:firstLine="360"/>
      </w:pPr>
      <w:r>
        <w:rPr>
          <w:b/>
        </w:rPr>
        <w:t>5</w:t>
        <w:t xml:space="preserve">.  </w:t>
      </w:r>
      <w:r>
        <w:rPr>
          <w:b/>
        </w:rPr>
        <w:t xml:space="preserve">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§6 (RP).]</w:t>
      </w:r>
    </w:p>
    <w:p>
      <w:pPr>
        <w:jc w:val="both"/>
        <w:spacing w:before="100" w:after="0"/>
        <w:ind w:start="360"/>
        <w:ind w:firstLine="360"/>
      </w:pPr>
      <w:r>
        <w:rPr>
          <w:b/>
        </w:rPr>
        <w:t>6</w:t>
        <w:t xml:space="preserve">.  </w:t>
      </w:r>
      <w:r>
        <w:rPr>
          <w:b/>
        </w:rPr>
        <w:t xml:space="preserve">Civil action.</w:t>
        <w:t xml:space="preserve"> </w:t>
      </w:r>
      <w:r>
        <w:t xml:space="preserve"> </w:t>
      </w:r>
      <w:r>
        <w:t xml:space="preserve">Whenever any insurer fails to pay any assessment due under this section within the time limit, the Attorney General shall enforce payment by civil action against that insurer for the amount of the assessment in the Superior Court in and for the county or the District Court in the division in which that insurer has the insurer's place of business, or in the Superior Court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Insurer defined.</w:t>
        <w:t xml:space="preserve"> </w:t>
      </w:r>
      <w:r>
        <w:t xml:space="preserve"> </w:t>
      </w:r>
      <w:r>
        <w:t xml:space="preserve">For the purposes of this section, "insurer" means an insurance company or association that does business or collects premiums for workers' compensation insurance in this State or an individual or group self-insurer under this Act, including the State and other public or governmental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§G26 (AMD). PL 2001, c. 448, §6 (AMD). </w:t>
      </w:r>
    </w:p>
    <w:p>
      <w:pPr>
        <w:jc w:val="both"/>
        <w:spacing w:before="100" w:after="100"/>
        <w:ind w:start="1080" w:hanging="720"/>
      </w:pPr>
      <w:r>
        <w:rPr>
          <w:b/>
        </w:rPr>
        <w:t>§</w:t>
        <w:t>357</w:t>
        <w:t xml:space="preserve">.  </w:t>
      </w:r>
      <w:r>
        <w:rPr>
          <w:b/>
        </w:rPr>
        <w:t xml:space="preserve">Information from insurance companies</w:t>
      </w:r>
    </w:p>
    <w:p>
      <w:pPr>
        <w:jc w:val="both"/>
        <w:spacing w:before="100" w:after="0"/>
        <w:ind w:start="360"/>
        <w:ind w:firstLine="360"/>
      </w:pPr>
      <w:r>
        <w:rPr>
          <w:b/>
        </w:rPr>
        <w:t>1</w:t>
        <w:t xml:space="preserve">.  </w:t>
      </w:r>
      <w:r>
        <w:rPr>
          <w:b/>
        </w:rPr>
        <w:t xml:space="preserve">Completion of forms.</w:t>
        <w:t xml:space="preserve"> </w:t>
      </w:r>
      <w:r>
        <w:t xml:space="preserve"> </w:t>
      </w:r>
      <w:r>
        <w:t xml:space="preserve">Every insurance company insuring employers under this Act shall fill out any blanks and answer all questions submitted that may relate to policies, premiums, amount of compensation paid and such other information as the board or the Superintendent of Insurance may determine important, either for the proper administration of this Act or for statistical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Explanation of reserving policy.</w:t>
        <w:t xml:space="preserve"> </w:t>
      </w:r>
      <w:r>
        <w:t xml:space="preserve"> </w:t>
      </w:r>
      <w:r>
        <w:t xml:space="preserve">Every insurance company subject to </w:t>
      </w:r>
      <w:r>
        <w:t>Title 24‑A, chapter 25, subchapter II‑B</w:t>
      </w:r>
      <w:r>
        <w:t xml:space="preserve"> shall,  not later than 30 days after filing its annual statement, file with the Superintendent of Insurance a detailed explanation of its reserve policy in regard to claims under this Act, including specific reserve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jc w:val="both"/>
        <w:spacing w:before="100" w:after="100"/>
        <w:ind w:start="1080" w:hanging="720"/>
      </w:pPr>
      <w:r>
        <w:rPr>
          <w:b/>
        </w:rPr>
        <w:t>§</w:t>
        <w:t>359</w:t>
        <w:t xml:space="preserve">.  </w:t>
      </w:r>
      <w:r>
        <w:rPr>
          <w:b/>
        </w:rPr>
        <w:t xml:space="preserve">Audits; penalty; monitoring</w:t>
      </w:r>
    </w:p>
    <w:p>
      <w:pPr>
        <w:jc w:val="both"/>
        <w:spacing w:before="100" w:after="100"/>
        <w:ind w:start="360"/>
        <w:ind w:firstLine="360"/>
      </w:pPr>
      <w:r>
        <w:rPr>
          <w:b/>
        </w:rPr>
        <w:t>1</w:t>
        <w:t xml:space="preserve">.  </w:t>
      </w:r>
      <w:r>
        <w:rPr>
          <w:b/>
        </w:rPr>
        <w:t xml:space="preserve">Audits.</w:t>
        <w:t xml:space="preserve"> </w:t>
      </w:r>
      <w:r>
        <w:t xml:space="preserve"> </w:t>
      </w:r>
      <w:r>
        <w:t xml:space="preserve">The board shall audit claims, including insurer, self-insurer, Maine Insurance Guaranty Association and 3rd-party administrator claim files, on an ongoing basis to determine whether insurers, self-insured employers, the Maine Insurance Guaranty Association and 3rd-party administrators have met their obligations under this Act and to identify the disputes that arose, the reasons for the disputes, the method and manner of their resolution, the costs incurred, the reasons for attorney involvement and the services rendered by the attorneys.</w:t>
      </w:r>
    </w:p>
    <w:p>
      <w:pPr>
        <w:jc w:val="both"/>
        <w:spacing w:before="100" w:after="0"/>
        <w:ind w:start="360"/>
      </w:pPr>
      <w:r>
        <w:rPr/>
      </w:r>
      <w:r>
        <w:rPr/>
      </w:r>
      <w:r>
        <w:t xml:space="preserve">If as a result of an examination and after providing the opportunity for a hearing the board determines that any compensation, interest, penalty or other obligation is due and unpaid to an employee, dependent, service provider or any other entity, the board shall issue a notice of assessment detailing the amounts due and unpaid in each case and shall order the amounts paid to the unpaid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§11 (AMD); PL 2009, c. 129, §13 (AFF).]</w:t>
      </w:r>
    </w:p>
    <w:p>
      <w:pPr>
        <w:jc w:val="both"/>
        <w:spacing w:before="100" w:after="0"/>
        <w:ind w:start="360"/>
        <w:ind w:firstLine="360"/>
      </w:pPr>
      <w:r>
        <w:rPr>
          <w:b/>
        </w:rPr>
        <w:t>2</w:t>
        <w:t xml:space="preserve">.  </w:t>
      </w:r>
      <w:r>
        <w:rPr>
          <w:b/>
        </w:rPr>
        <w:t xml:space="preserve">Penalty.</w:t>
        <w:t xml:space="preserve"> </w:t>
      </w:r>
      <w:r>
        <w:t xml:space="preserve"> </w:t>
      </w:r>
      <w:r>
        <w:t xml:space="preserve">In addition to any other penalty assessment permitted under this Act, the board may assess civil penalties not to exceed $25,000 upon finding, after hearing, that an employer, insurer or 3rd-party administrator for an employer has engaged in a pattern of questionable claims-handling techniques or repeated unreasonably contested claims.  The board shall certify its findings to the Superintendent of Insurance, who shall take appropriate action so as to bring any such practices to a halt.  This certification by the board is exempt from the provisions of the Maine Administrative Procedure Act.  The amount of any penalty assessed pursuant to this subsection must be directly related to the severity of the pattern of questionable claims-handling techniques or repeated unreasonably contested claims.  All penalties collected pursuant to this subsection must be deposited in the General Fund.  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265, §2 (AMD).]</w:t>
      </w:r>
    </w:p>
    <w:p>
      <w:pPr>
        <w:jc w:val="both"/>
        <w:spacing w:before="100" w:after="0"/>
        <w:ind w:start="360"/>
        <w:ind w:firstLine="360"/>
      </w:pPr>
      <w:r>
        <w:rPr>
          <w:b/>
        </w:rPr>
        <w:t>3</w:t>
        <w:t xml:space="preserve">.  </w:t>
      </w:r>
      <w:r>
        <w:rPr>
          <w:b/>
        </w:rPr>
        <w:t xml:space="preserve">Monitoring.</w:t>
        <w:t xml:space="preserve"> </w:t>
      </w:r>
      <w:r>
        <w:t xml:space="preserve"> </w:t>
      </w:r>
      <w:r>
        <w:t xml:space="preserve">No later than July 1, 1993 the board shall implement a monitoring program to evaluate and compare the cost, utilization and performance of the workers' compensation system for each calendar year beginning with 1988.  The information compiled must include the number of injuries occurring and claims filed as compared to employment levels, the type and cost of the benefits provided, attorney involvement and litigation levels, and the long-term, postinjury economic status of injured workers, as well as any other data that is actuarially valid and can be utilized to accomplish the purposes of this Act, including rulemaking and recommending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603, §4 (AMD). PL 2007, c. 265, §2 (AMD). PL 2009, c. 129, §11 (AMD). PL 2009, c. 129, §13 (AFF). </w:t>
      </w:r>
    </w:p>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jc w:val="both"/>
        <w:spacing w:before="100" w:after="100"/>
        <w:ind w:start="1080" w:hanging="720"/>
      </w:pPr>
      <w:r>
        <w:rPr>
          <w:b/>
        </w:rPr>
        <w:t>§</w:t>
        <w:t>361</w:t>
        <w:t xml:space="preserve">.  </w:t>
      </w:r>
      <w:r>
        <w:rPr>
          <w:b/>
        </w:rPr>
        <w:t xml:space="preserve">Payment to the Workers' Compensation Board Administrative Fund; enforcement</w:t>
      </w:r>
    </w:p>
    <w:p>
      <w:pPr>
        <w:jc w:val="both"/>
        <w:spacing w:before="100" w:after="0"/>
        <w:ind w:start="360"/>
        <w:ind w:firstLine="360"/>
      </w:pPr>
      <w:r>
        <w:rPr>
          <w:b/>
        </w:rPr>
        <w:t>1</w:t>
        <w:t xml:space="preserve">.  </w:t>
      </w:r>
      <w:r>
        <w:rPr>
          <w:b/>
        </w:rPr>
        <w:t xml:space="preserve">Payment.</w:t>
        <w:t xml:space="preserve"> </w:t>
      </w:r>
      <w:r>
        <w:t xml:space="preserve"> </w:t>
      </w:r>
      <w:r>
        <w:t xml:space="preserve">All penalties assessed under this Act are payable to the Workers' Compensation Board Administrative Fund, unless otherwise provided by law.  Upon certification by the board that certain amounts in the Workers' Compensation Board Administrative Fund attributable to penalties assessed pursuant to this Act are not required to support the activities of the board, the Treasurer of State shall transfer funds in the amount certified by the board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w:pPr>
        <w:jc w:val="both"/>
        <w:spacing w:before="100" w:after="100"/>
        <w:ind w:start="360"/>
        <w:ind w:firstLine="360"/>
      </w:pPr>
      <w:r>
        <w:rPr>
          <w:b/>
        </w:rPr>
        <w:t>2</w:t>
        <w:t xml:space="preserve">.  </w:t>
      </w:r>
      <w:r>
        <w:rPr>
          <w:b/>
        </w:rPr>
        <w:t xml:space="preserve">Enforcement and collection.</w:t>
        <w:t xml:space="preserve"> </w:t>
      </w:r>
      <w:r>
        <w:t xml:space="preserve"> </w:t>
      </w:r>
      <w:r>
        <w:t xml:space="preserve">All penalties assessed under this Act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payable to the Workers' Compensation Board Administrative Fund, Employment Rehabilitation Fund or General Fund,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w:pPr>
        <w:jc w:val="both"/>
        <w:spacing w:before="100" w:after="0"/>
        <w:ind w:start="720"/>
      </w:pPr>
      <w:r>
        <w:rPr/>
        <w:t>B</w:t>
        <w:t xml:space="preserve">.  </w:t>
      </w:r>
      <w:r>
        <w:rPr/>
      </w:r>
      <w:r>
        <w:t xml:space="preserve">If a person fails to pay a penalty assessed under this Act that is payable to the Workers' Compensation Board Administrative Fund, Employment Rehabilitation Fund or General Fund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Act must be doubled.</w:t>
      </w:r>
      <w:r>
        <w:t xml:space="preserve">  </w:t>
      </w:r>
      <w:r xmlns:wp="http://schemas.openxmlformats.org/drawingml/2010/wordprocessingDrawing" xmlns:w15="http://schemas.microsoft.com/office/word/2012/wordml">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§6 (NEW). PL 2007, c. 26,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